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w:body><w:p w14:paraId="2AE012A3" w14:textId="77777777" w:rsidR="00DA7DA4" w:rsidRDefault="00592B02" w:rsidP="00DA7DA4"><w:pPr><w:rPr><w:rFonts w:ascii="Noway" w:hAnsi="Noway"/><w:b/><w:bCs/><w:color w:val="222A35" w:themeColor="text2" w:themeShade="80"/><w:sz w:val="24"/><w:szCs w:val="24"/></w:rPr></w:pPr><w:r w:rsidRPr="00DA7DA4"><w:rPr><w:rFonts w:ascii="Noway" w:hAnsi="Noway"/><w:b/><w:bCs/><w:color w:val="222A35" w:themeColor="text2" w:themeShade="80"/><w:sz w:val="24"/><w:szCs w:val="24"/></w:rPr><w:br/></w:r><w:proofErr w:type="spellStart"/><w:r w:rsidR="00250188" w:rsidRPr="00DA7DA4"><w:rPr><w:rFonts w:ascii="Noway" w:hAnsi="Noway"/><w:b/><w:bCs/><w:color w:val="222A35" w:themeColor="text2" w:themeShade="80"/><w:sz w:val="24"/><w:szCs w:val="24"/></w:rPr><w:t>Außschreibungstext</w:t></w:r><w:proofErr w:type="spellEnd"/></w:p><w:p w14:paraId="44A5197D" w14:textId="017110A9" w:rsidR="00250188" w:rsidRDefault="00DA7DA4" w:rsidP="00DA7DA4"><w:pPr><w:rPr><w:rFonts w:ascii="Noway" w:hAnsi="Noway"/><w:b/><w:bCs/><w:color w:val="222A35" w:themeColor="text2" w:themeShade="80"/><w:sz w:val="24"/><w:szCs w:val="24"/><w:lang w:eastAsia="en-US"/></w:rPr></w:pPr><w:proofErr w:type="spellStart"/><w:r><w:rPr><w:rFonts w:ascii="Noway" w:hAnsi="Noway"/><w:b/><w:bCs/><w:color w:val="222A35" w:themeColor="text2" w:themeShade="80"/><w:sz w:val="24"/><w:szCs w:val="24"/></w:rPr><w:t>m</w:t></w:r><w:r w:rsidR="00250188" w:rsidRPr="00DA7DA4"><w:rPr><w:rFonts w:ascii="Noway" w:hAnsi="Noway"/><w:b/><w:bCs/><w:color w:val="222A35" w:themeColor="text2" w:themeShade="80"/><w:sz w:val="24"/><w:szCs w:val="24"/></w:rPr><w:t>obiheat</w:t></w:r><w:proofErr w:type="spellEnd"/><w:r w:rsidR="00250188"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MHWT2500</w:t></w:r><w:r w:rsidR="00250188" w:rsidRPr="00DA7DA4"><w:rPr><w:rFonts w:ascii="Noway" w:hAnsi="Noway"/><w:b/><w:bCs/><w:color w:val="222A35" w:themeColor="text2" w:themeShade="80"/><w:sz w:val="24"/><w:szCs w:val="24"/></w:rPr><w:t xml:space="preserve"> | </w:t></w:r><w:r w:rsidR="00D07684"><w:rPr><w:rFonts w:ascii="Noway" w:hAnsi="Noway"/><w:b/><w:bCs/><w:color w:val="222A35" w:themeColor="text2" w:themeShade="80"/><w:sz w:val="24"/><w:szCs w:val="24"/></w:rPr><w:t>2.500 kW</w:t></w:r><w:r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Wärmetauscher</w:t></w:r></w:p><w:p w14:paraId="01AFE20D" w14:textId="77777777" w:rsidR="00DA7DA4" w:rsidRPr="00250188" w:rsidRDefault="00DA7DA4" w:rsidP="00DA7DA4"><w:pPr><w:rPr><w:rFonts w:ascii="Noway" w:hAnsi="Noway"/><w:b/><w:bCs/><w:color w:val="222A35" w:themeColor="text2" w:themeShade="80"/><w:sz w:val="24"/><w:szCs w:val="24"/></w:rPr></w:pPr></w:p><w:p w14:paraId="10F646CE" w14:textId="6998E2DB" w:rsidR="00DA7DA4" w:rsidRDefault="00186DDF" w:rsidP="00DA7DA4"><w:pPr><w:rPr><w:rFonts w:ascii="Noway" w:hAnsi="Noway"/><w:color w:val="222A35" w:themeColor="text2" w:themeShade="80"/><w:lang w:eastAsia="en-US"/></w:rPr></w:pPr><w:r><w:rPr><w:rFonts w:ascii="Noway" w:hAnsi="Noway"/><w:color w:val="222A35" w:themeColor="text2" w:themeShade="80"/><w:lang w:eastAsia="en-US"/></w:rPr><w:t>Der mobiheat MHWT2500 ist ein kompakter und voll funktionsfähiger Plattenwärmetauscher. Durch die einfache Einbindung ins System durch flexible Schlauchleitungen ist der mobiheat MHWT2500 sehr schnell einsatzbereit. Der Plattenwärmetauscher verfügt über ein Strangregulierventil, um die Volumenströme sekundärseitig jederzeit an das Netz anzupassen. Außerdem ist er mit unseren Energiezentralen kombinierbar und für verschiedene Druckbereiche oder Medien einsetzbar.</w:t><w:br/><w:t xml:space="preserve"></w:t><w:br/><w:t xml:space="preserve">Merkmale:</w:t><w:br/><w:t xml:space="preserve"></w:t><w:br/><w:t xml:space="preserve">Kompakte Bauweise</w:t><w:br/><w:t xml:space="preserve">Auch für Außenaufstellung geeignet</w:t><w:br/><w:t xml:space="preserve">Verschiedene Druckbereiche/Medien</w:t><w:br/><w:t xml:space="preserve">Schneller Anschluss durch flexible Schläuche</w:t><w:br/><w:t xml:space="preserve"></w:t></w:r></w:p><w:p w14:paraId="401931FC" w14:textId="2713A8EE" w:rsidR="00ED545D" w:rsidRDefault="00554494" w:rsidP="00DA7DA4"><w:pPr><w:rPr><w:rFonts w:ascii="Noway" w:hAnsi="Noway"/><w:color w:val="222A35" w:themeColor="text2" w:themeShade="80"/><w:lang w:eastAsia="en-US"/></w:rPr></w:pPr><w:r><w:rPr><w:rFonts w:ascii="Noway" w:hAnsi="Noway"/><w:color w:val="222A35" w:themeColor="text2" w:themeShade="80"/><w:lang w:eastAsia="en-US"/></w:rPr><w:t>Mietkonditionen:</w:t></w:r></w:p><w:p w14:paraId="433AACC1" w14:textId="684F7A3D" w:rsidR="00DA7DA4" w:rsidRDefault="00446647" w:rsidP="00DA7DA4"><w:pPr><w:pStyle w:val="Listenabsatz"/><w:numPr><w:ilvl w:val="0"/><w:numId w:val="1"/></w:numPr><w:rPr><w:rFonts w:ascii="Noway" w:hAnsi="Noway"/></w:rPr></w:pPr><w:r><w:rPr><w:rFonts w:ascii="Noway" w:hAnsi="Noway"/></w:rPr><w:t>Nur in Verbindung mit einer Heizzentrale mietbar</w:t></w:r></w:p><w:p w14:paraId="433AACC1" w14:textId="684F7A3D" w:rsidR="00DA7DA4" w:rsidRDefault="00446647" w:rsidP="00DA7DA4"><w:pPr><w:pStyle w:val="Listenabsatz"/><w:numPr><w:ilvl w:val="0"/><w:numId w:val="1"/></w:numPr><w:rPr><w:rFonts w:ascii="Noway" w:hAnsi="Noway"/></w:rPr></w:pPr><w:r><w:rPr><w:rFonts w:ascii="Noway" w:hAnsi="Noway"/></w:rPr><w:t>Inklusive Anlieferung und Abholung</w:t></w:r></w:p><w:p w14:paraId="433AACC1" w14:textId="684F7A3D" w:rsidR="00DA7DA4" w:rsidRDefault="00446647" w:rsidP="00DA7DA4"><w:pPr><w:pStyle w:val="Listenabsatz"/><w:numPr><w:ilvl w:val="0"/><w:numId w:val="1"/></w:numPr><w:rPr><w:rFonts w:ascii="Noway" w:hAnsi="Noway"/></w:rPr></w:pPr><w:r><w:rPr><w:rFonts w:ascii="Noway" w:hAnsi="Noway"/></w:rPr><w:t>Inklusive&nbsp;4x Adapter DN100 PN40 auf DN100 PN16</w:t></w:r></w:p><w:p w14:paraId="433AACC1" w14:textId="684F7A3D" w:rsidR="00DA7DA4" w:rsidRDefault="00446647" w:rsidP="00DA7DA4"><w:pPr><w:pStyle w:val="Listenabsatz"/><w:numPr><w:ilvl w:val="0"/><w:numId w:val="1"/></w:numPr><w:rPr><w:rFonts w:ascii="Noway" w:hAnsi="Noway"/></w:rPr></w:pPr><w:r><w:rPr><w:rFonts w:ascii="Noway" w:hAnsi="Noway"/></w:rPr><w:t>Taggenaue Abrechnung nach Grundmiete</w:t></w:r></w:p><w:p w14:paraId="433AACC1" w14:textId="684F7A3D" w:rsidR="00DA7DA4" w:rsidRDefault="00446647" w:rsidP="00DA7DA4"><w:pPr><w:pStyle w:val="Listenabsatz"/><w:numPr><w:ilvl w:val="0"/><w:numId w:val="1"/></w:numPr><w:rPr><w:rFonts w:ascii="Noway" w:hAnsi="Noway"/></w:rPr></w:pPr><w:r><w:rPr><w:rFonts w:ascii="Noway" w:hAnsi="Noway"/></w:rPr><w:t>Anlieferungs- und Abmeldetag werden berechnet</w:t></w:r></w:p><w:p w14:paraId="433AACC1" w14:textId="684F7A3D" w:rsidR="00DA7DA4" w:rsidRDefault="00446647" w:rsidP="00DA7DA4"><w:pPr><w:pStyle w:val="Listenabsatz"/><w:numPr><w:ilvl w:val="0"/><w:numId w:val="1"/></w:numPr><w:rPr><w:rFonts w:ascii="Noway" w:hAnsi="Noway"/></w:rPr></w:pPr><w:r><w:rPr><w:rFonts w:ascii="Noway" w:hAnsi="Noway"/></w:rPr><w:t>Der Mindestmietzeitraum beträgt 7 Tage</w:t></w:r></w:p><w:p w14:paraId="67A9AE71" w14:textId="77777777" w:rsidR="00DA7DA4" w:rsidRDefault="00DA7DA4" w:rsidP="00DA7DA4"><w:pPr><w:rPr><w:rFonts w:ascii="Noway" w:hAnsi="Noway"/><w:color w:val="222A35" w:themeColor="text2" w:themeShade="80"/><w:lang w:eastAsia="en-US"/></w:rPr></w:pPr></w:p><w:tbl><w:tblPr><w:tblW w:w="9356" w:type="dxa"/><w:tblInd w:w="-5" w:type="dxa"/><w:tblLayout w:type="fixed"/><w:tblCellMar><w:left w:w="0" w:type="dxa"/><w:right w:w="0" w:type="dxa"/></w:tblCellMar><w:tblLook w:val="0000" w:firstRow="0" w:lastRow="0" w:firstColumn="0" w:lastColumn="0" w:noHBand="0" w:noVBand="0"/></w:tblPr><w:tblGrid><w:gridCol w:w="5954"/><w:gridCol w:w="1701"/><w:gridCol w:w="1701"/></w:tblGrid><w:tr w:rsidR="00DA7DA4" w:rsidRPr="003B1F33" w14:paraId="086D7178" w14:textId="77777777" w:rsidTr="0067072D"><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AD5462A" w14:textId="01AC022C" w:rsidR="00DA7DA4" w:rsidRPr="003B1F33" w:rsidRDefault="002E3835" w:rsidP="00DA7DA4"><w:pPr><w:rPr><w:rFonts w:ascii="Noway" w:hAnsi="Noway"/></w:rPr></w:pPr><w:r><w:rPr><w:rFonts w:ascii="Noway" w:hAnsi="Noway"/></w:rPr><w:t>Heizzentrale</w:t></w:r><w:r w:rsidR="00DA7DA4" w:rsidRPr="003B1F33"><w:rPr><w:rFonts w:ascii="Noway" w:hAnsi="Noway"/></w:rPr><w:t xml:space="preserve"> (</w:t></w:r><w:r w:rsidR="00F84AE5"><w:rPr><w:rFonts w:ascii="Noway" w:hAnsi="Noway"/></w:rPr><w:t>DL Groß ab 360 kW bis 2.500 kW</w:t></w:r><w:r w:rsidR="00DA7DA4"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2F18E60" w14:textId="77777777" w:rsidR="00DA7DA4" w:rsidRPr="003B1F33" w:rsidRDefault="00DA7DA4" w:rsidP="00DA7DA4"><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7EFDFE7" w14:textId="77777777" w:rsidR="00DA7DA4" w:rsidRPr="003B1F33" w:rsidRDefault="00DA7DA4" w:rsidP="00DA7DA4"><w:pPr><w:rPr><w:rFonts w:ascii="Noway" w:hAnsi="Noway"/></w:rPr></w:pPr><w:r w:rsidRPr="003B1F33"><w:rPr><w:rFonts w:ascii="Noway" w:hAnsi="Noway"/></w:rPr><w:t>Preis in €</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Wochengrundmiete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MHWT2500V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1.721,00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8.Tag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MHWT2500VT8</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97,00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Monatsgrundmiete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MHWT2500VM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3.223,00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31.Tag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MHWT2500VT31</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78,00</w:t></w:r></w:p></w:tc></w:tr><w:tr w:rsidR="00CF2CBC" w:rsidRPr="003B1F33" w14:paraId="20FFC0C3"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FB73151" w14:textId="2D932981" w:rsidR="00CF2CBC" w:rsidRPr="003B1F33" w:rsidRDefault="00CF2CBC" w:rsidP="002A2867"><w:pPr><w:rPr><w:rFonts w:ascii="Noway" w:hAnsi="Noway"/></w:rPr></w:pPr><w:r><w:rPr><w:rFonts w:ascii="Noway" w:hAnsi="Noway"/></w:rPr><w:t>Zubehör</w:t></w:r><w:r w:rsidRPr="003B1F33"><w:rPr><w:rFonts w:ascii="Noway" w:hAnsi="Noway"/></w:rPr><w:t xml:space="preserve"> </w:t></w:r><w:r w:rsidR="00F84AE5" w:rsidRPr="003B1F33"><w:rPr><w:rFonts w:ascii="Noway" w:hAnsi="Noway"/></w:rPr><w:t>(</w:t></w:r><w:r w:rsidR="00F84AE5"><w:rPr><w:rFonts w:ascii="Noway" w:hAnsi="Noway"/></w:rPr><w:t>DL Standard bis 120 kW</w:t></w:r><w:r w:rsidR="00F84AE5"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1EBEEC2"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333458B" w14:textId="77777777" w:rsidR="00CF2CBC" w:rsidRPr="003B1F33" w:rsidRDefault="00CF2CBC" w:rsidP="002A2867"><w:pPr><w:rPr><w:rFonts w:ascii="Noway" w:hAnsi="Noway"/></w:rPr></w:pPr><w:r w:rsidRPr="003B1F33"><w:rPr><w:rFonts w:ascii="Noway" w:hAnsi="Noway"/></w:rPr><w:t>Preis in €</w:t></w:r></w:p></w:tc></w:tr><w:tr w:rsidR="00CF2CBC" w:rsidRPr="003B1F33" w14:paraId="5CFC1115"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20F73A7F" w14:textId="51DA64D7" w:rsidR="00CF2CBC" w:rsidRPr="003B1F33" w:rsidRDefault="00CF2CBC" w:rsidP="002A2867"><w:pPr><w:rPr><w:rFonts w:ascii="Noway" w:hAnsi="Noway"/></w:rPr></w:pPr><w:r><w:rPr><w:rFonts w:ascii="Noway" w:hAnsi="Noway"/></w:rPr><w:t>Service</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78BF09B"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5E9A354F" w14:textId="77777777" w:rsidR="00CF2CBC" w:rsidRPr="003B1F33" w:rsidRDefault="00CF2CBC" w:rsidP="002A2867"><w:pPr><w:rPr><w:rFonts w:ascii="Noway" w:hAnsi="Noway"/></w:rPr></w:pPr><w:r w:rsidRPr="003B1F33"><w:rPr><w:rFonts w:ascii="Noway" w:hAnsi="Noway"/></w:rPr><w:t>Preis in €</w:t></w:r></w:p></w:tc></w:tr><w:tr w:rsidR="00CF2CBC" w:rsidRPr="003B1F33" w14:paraId="34F534B6"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D28365C" w14:textId="4A0BCC6A" w:rsidR="00CF2CBC" w:rsidRPr="003B1F33" w:rsidRDefault="00CF2CBC" w:rsidP="002A2867"><w:pPr><w:rPr><w:rFonts w:ascii="Noway" w:hAnsi="Noway"/></w:rPr></w:pPr><w:r><w:rPr><w:rFonts w:ascii="Noway" w:hAnsi="Noway"/></w:rPr><w:t>Auslaufartikel - mh Anschluss/Inbetriebnahme (IBN) Plattenwärmetauscher 150-600,600-2000 kW</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1ABA3832" w14:textId="1FA0E10F" w:rsidR="00CF2CBC" w:rsidRPr="003B1F33" w:rsidRDefault="00CF2CBC" w:rsidP="002A2867"><w:pPr><w:rPr><w:rFonts w:ascii="Noway" w:hAnsi="Noway"/></w:rPr></w:pPr><w:r><w:rPr><w:rFonts w:ascii="Noway" w:hAnsi="Noway"/></w:rPr><w:t>MHIBNWT2000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750AA8A8" w14:textId="72BC7BA7" w:rsidR="00CF2CBC" w:rsidRPr="003B1F33" w:rsidRDefault="00CF2CBC" w:rsidP="002A2867"><w:pPr><w:rPr><w:rFonts w:ascii="Noway" w:hAnsi="Noway"/></w:rPr></w:pPr><w:r><w:rPr><w:rFonts w:ascii="Noway" w:hAnsi="Noway"/></w:rPr><w:t>301,00</w:t></w:r></w:p></w:tc></w:tr></w:tbl><w:p w14:paraId="6B0B8B16" w14:textId="77777777" w:rsidR="00CF2CBC" w:rsidRPr="00465F1C" w:rsidRDefault="00CF2CBC"><w:pPr><w:rPr><w:lang w:eastAsia="en-US"/></w:rPr></w:pPr></w:p><w:sectPr w:rsidR="00CF2CBC" w:rsidRPr="00465F1C" w:rsidSect="00B05F34"><w:headerReference w:type="default" r:id="rId7"/><w:footerReference w:type="default" r:id="rId8"/><w:pgSz w:w="11906" w:h="16838"/><w:pgMar w:top="2568" w:right="1274" w:bottom="1134" w:left="1276" w:header="720" w:footer="1436" w:gutter="0"/><w:cols w:space="720"/></w:sectPr></w:body></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