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MHLD65</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65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Warmlufterzeuger</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Der mobile Warmlufterzeuger MHLD65 mit 65 kW Heizleistung ist zur Beheizung von Baustellen, Hallen oder Zelten geeignet. Durch das integrierte Hochleistungsradialgebläse kann die erwärmte Luft jederzeit dort eingebracht werden, wo diese benötigt wird.</w:t>
        <w:br/>
        <w:t xml:space="preserve"/>
        <w:br/>
        <w:t xml:space="preserve">Die Warmlufterzeuger verfügen über einen automatischen beheizten Ölfilter für einen sicheren Start und Betrieb bei tiefen Außentemperaturen. Dies erlaubt es, die Geräte jederzeit im Freien aufzustellen. Mit einem externen Öltankbehälter wird die Brennstoffversorgung sichergestellt.</w:t>
        <w:br/>
        <w:t xml:space="preserve"/>
        <w:br/>
        <w:t xml:space="preserve">Ein elektromagnetisches Ventil verhindert den Ölaustritt während das Brenner-/Ölförderaggregat still steht. Die sogenannte "Heizkanone" ist ein direktbefeuertes Heizsystem und kann autark arbeiten Optional kann ein Raumthermostat angeschlossen werden, um die gewünschte Raumtemperatur festzulegen.</w:t>
        <w:br/>
        <w:t xml:space="preserve"/>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VK Bau</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mobiheat Warmlufterzeuger 65 kW MHLD65</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MHLD65</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13.309,00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VK Energie groß</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Luftschlauch Ø 425 mm, 7,6 m MHLS425</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MHLS425</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497,00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Anschlusskabel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Anschlusskabel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mobiheat externer Ölltankbehälter 1.000 Liter MHTA1000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MHTA1000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10.500,00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