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MHL20-50</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20/50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Lüftungsgeräte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mobile Lüftungsgerät MHL20-50 ist ein transportabler Lüfter mit 50 kW Heiz- und 20 kW Kühlleistung zum Anschluss an unsere mobilen Heizzentralen und mobilen Kaltwassersätze. Somit ist es sowohl zur Beheizung, als auch zur Klimatisierung von Baustellen, Hallen, Zelten, uvm. geeignet. Bauwerke können sparsam mit Wärme versorgt und verschiedenste Bereiche flexibel klimatisiert werden. Das Gerät arbeitet im Umluftbetrieb, wodurch keine Abgasemissionen im Gebäude entstehen. Durch das fahrbare Transportgestell sind die Geräte extrem flexibel. Am Lüfter selbst ist eine Temperatur- und Drehzahlregelung angebracht, ein weiterer Vorteil ist die Stromversorgung mit 230 V.</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Bau</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Lüftungsgerät, 20 kW kühlen/50 kW heizen MHL20-50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MHL20-50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3.216,00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klein*</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DN25, Geka, 10 m MHABL2510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259,00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3-fach Verteiler, Storz C DN50/3xGeka DN25, VL/RL MHLV3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1.669,00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6-fach Verteiler, Storz C DN50/6xGeka DN25, VL/RL MHLV6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2.303,00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146,00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