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F42BF" w14:textId="0577BDE0" w:rsidR="00792BDF" w:rsidRPr="007367D9" w:rsidRDefault="00792BDF" w:rsidP="00792BDF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bookmarkStart w:id="3" w:name="_Hlk65224892"/>
      <w:bookmarkStart w:id="4" w:name="_Hlk65226493"/>
      <w:bookmarkStart w:id="5" w:name="_Hlk65227587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MH</w:t>
      </w:r>
      <w:r w:rsidR="00B47F74">
        <w:rPr>
          <w:rFonts w:ascii="Titillium Web" w:hAnsi="Titillium Web"/>
          <w:b/>
          <w:bCs/>
        </w:rPr>
        <w:t>P65</w:t>
      </w:r>
      <w:r>
        <w:rPr>
          <w:rFonts w:ascii="Titillium Web" w:hAnsi="Titillium Web"/>
          <w:b/>
          <w:bCs/>
        </w:rPr>
        <w:t xml:space="preserve"> | </w:t>
      </w:r>
      <w:r w:rsidR="00B47F74">
        <w:rPr>
          <w:rFonts w:ascii="Titillium Web" w:hAnsi="Titillium Web"/>
          <w:b/>
          <w:bCs/>
        </w:rPr>
        <w:t>externe Umwälzpumpe</w:t>
      </w:r>
    </w:p>
    <w:p w14:paraId="43205B66" w14:textId="77777777" w:rsidR="00792BDF" w:rsidRPr="0012256C" w:rsidRDefault="00792BDF" w:rsidP="00792BDF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bookmarkStart w:id="6" w:name="_Hlk64897287"/>
      <w:r w:rsidRPr="0012256C"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1"/>
    <w:bookmarkEnd w:id="2"/>
    <w:bookmarkEnd w:id="3"/>
    <w:bookmarkEnd w:id="4"/>
    <w:bookmarkEnd w:id="5"/>
    <w:bookmarkEnd w:id="6"/>
    <w:p w14:paraId="65C58205" w14:textId="6510A2C1" w:rsidR="00B47F74" w:rsidRPr="00B47F74" w:rsidRDefault="00B47F74" w:rsidP="00B47F74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B47F74">
        <w:rPr>
          <w:rFonts w:ascii="Titillium Web" w:hAnsi="Titillium Web" w:cs="Titillium Web"/>
          <w:color w:val="000000"/>
          <w:sz w:val="20"/>
          <w:szCs w:val="20"/>
        </w:rPr>
        <w:t>Die mobiheat Umwälzpumpe MHP65 ist ein steckerfertiges Umwälzpumpen</w:t>
      </w:r>
      <w:r w:rsidRPr="00B47F74">
        <w:rPr>
          <w:rFonts w:ascii="Cambria" w:hAnsi="Cambria" w:cs="Cambria"/>
          <w:color w:val="000000"/>
          <w:sz w:val="20"/>
          <w:szCs w:val="20"/>
        </w:rPr>
        <w:t>­</w:t>
      </w:r>
      <w:r w:rsidRPr="00B47F74">
        <w:rPr>
          <w:rFonts w:ascii="Titillium Web" w:hAnsi="Titillium Web" w:cs="Titillium Web"/>
          <w:color w:val="000000"/>
          <w:sz w:val="20"/>
          <w:szCs w:val="20"/>
        </w:rPr>
        <w:t>modul für den mobilen Einsatz.</w:t>
      </w:r>
    </w:p>
    <w:p w14:paraId="2FC4AD0F" w14:textId="4A40AF16" w:rsidR="00B47F74" w:rsidRPr="00B47F74" w:rsidRDefault="00B47F74" w:rsidP="00B47F74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B47F74">
        <w:rPr>
          <w:rFonts w:ascii="Titillium Web" w:hAnsi="Titillium Web" w:cs="Titillium Web"/>
          <w:color w:val="000000"/>
          <w:sz w:val="20"/>
          <w:szCs w:val="20"/>
        </w:rPr>
        <w:t>Bei der mobiheat MHP65 handelt es sich um eine frequenzge</w:t>
      </w:r>
      <w:r w:rsidRPr="00B47F74">
        <w:rPr>
          <w:rFonts w:ascii="Cambria" w:hAnsi="Cambria" w:cs="Cambria"/>
          <w:color w:val="000000"/>
          <w:sz w:val="20"/>
          <w:szCs w:val="20"/>
        </w:rPr>
        <w:t>­</w:t>
      </w:r>
      <w:r w:rsidRPr="00B47F74">
        <w:rPr>
          <w:rFonts w:ascii="Titillium Web" w:hAnsi="Titillium Web" w:cs="Titillium Web"/>
          <w:color w:val="000000"/>
          <w:sz w:val="20"/>
          <w:szCs w:val="20"/>
        </w:rPr>
        <w:t xml:space="preserve">steuerte </w:t>
      </w:r>
      <w:proofErr w:type="spellStart"/>
      <w:r w:rsidRPr="00B47F74">
        <w:rPr>
          <w:rFonts w:ascii="Titillium Web" w:hAnsi="Titillium Web" w:cs="Titillium Web"/>
          <w:color w:val="000000"/>
          <w:sz w:val="20"/>
          <w:szCs w:val="20"/>
        </w:rPr>
        <w:t>Heizungsumwälzpume</w:t>
      </w:r>
      <w:proofErr w:type="spellEnd"/>
      <w:r w:rsidRPr="00B47F74">
        <w:rPr>
          <w:rFonts w:ascii="Titillium Web" w:hAnsi="Titillium Web" w:cs="Titillium Web"/>
          <w:color w:val="000000"/>
          <w:sz w:val="20"/>
          <w:szCs w:val="20"/>
        </w:rPr>
        <w:t>, die jederzeit an das angeschlos</w:t>
      </w:r>
      <w:r w:rsidRPr="00B47F74">
        <w:rPr>
          <w:rFonts w:ascii="Cambria" w:hAnsi="Cambria" w:cs="Cambria"/>
          <w:color w:val="000000"/>
          <w:sz w:val="20"/>
          <w:szCs w:val="20"/>
        </w:rPr>
        <w:t>­</w:t>
      </w:r>
      <w:r w:rsidRPr="00B47F74">
        <w:rPr>
          <w:rFonts w:ascii="Titillium Web" w:hAnsi="Titillium Web" w:cs="Titillium Web"/>
          <w:color w:val="000000"/>
          <w:sz w:val="20"/>
          <w:szCs w:val="20"/>
        </w:rPr>
        <w:t>sene Rohrnetz angepasst werden kann.</w:t>
      </w:r>
      <w:r w:rsidRPr="00B47F74">
        <w:rPr>
          <w:rFonts w:ascii="Titillium Web" w:hAnsi="Titillium Web" w:cs="Titillium Web"/>
          <w:color w:val="000000"/>
          <w:sz w:val="20"/>
          <w:szCs w:val="20"/>
        </w:rPr>
        <w:br/>
        <w:t>Als Trockenlaufschutz ist ein Mindest-Druckwächter am Pumpen</w:t>
      </w:r>
      <w:r w:rsidRPr="00B47F74">
        <w:rPr>
          <w:rFonts w:ascii="Cambria" w:hAnsi="Cambria" w:cs="Cambria"/>
          <w:color w:val="000000"/>
          <w:sz w:val="20"/>
          <w:szCs w:val="20"/>
        </w:rPr>
        <w:t>­</w:t>
      </w:r>
      <w:r w:rsidRPr="00B47F74">
        <w:rPr>
          <w:rFonts w:ascii="Titillium Web" w:hAnsi="Titillium Web" w:cs="Titillium Web"/>
          <w:color w:val="000000"/>
          <w:sz w:val="20"/>
          <w:szCs w:val="20"/>
        </w:rPr>
        <w:t>aggregat montiert.</w:t>
      </w:r>
    </w:p>
    <w:p w14:paraId="272FEFE4" w14:textId="77777777" w:rsidR="00B47F74" w:rsidRPr="00B47F74" w:rsidRDefault="00B47F74" w:rsidP="00B47F74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7512D6B1" w14:textId="2DD236E3" w:rsidR="00B47F74" w:rsidRPr="00B47F74" w:rsidRDefault="00B47F74" w:rsidP="00B47F74">
      <w:pPr>
        <w:pStyle w:val="Listenabsatz"/>
        <w:numPr>
          <w:ilvl w:val="0"/>
          <w:numId w:val="44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B47F74">
        <w:rPr>
          <w:rFonts w:ascii="Titillium Web" w:hAnsi="Titillium Web" w:cs="Titillium Web"/>
          <w:color w:val="000000"/>
          <w:sz w:val="20"/>
          <w:szCs w:val="20"/>
        </w:rPr>
        <w:t>Elektronisch geregelte Pumpe</w:t>
      </w:r>
    </w:p>
    <w:p w14:paraId="6EC32E79" w14:textId="020ADD3C" w:rsidR="00B47F74" w:rsidRPr="00B47F74" w:rsidRDefault="00B47F74" w:rsidP="00B47F74">
      <w:pPr>
        <w:pStyle w:val="Listenabsatz"/>
        <w:numPr>
          <w:ilvl w:val="0"/>
          <w:numId w:val="44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B47F74">
        <w:rPr>
          <w:rFonts w:ascii="Titillium Web" w:hAnsi="Titillium Web" w:cs="Titillium Web"/>
          <w:color w:val="000000"/>
          <w:sz w:val="20"/>
          <w:szCs w:val="20"/>
        </w:rPr>
        <w:t>Kompakte Bauweise</w:t>
      </w:r>
    </w:p>
    <w:p w14:paraId="50DAC0A2" w14:textId="3106C0B2" w:rsidR="00B47F74" w:rsidRPr="00B47F74" w:rsidRDefault="00B47F74" w:rsidP="00B47F74">
      <w:pPr>
        <w:pStyle w:val="Listenabsatz"/>
        <w:numPr>
          <w:ilvl w:val="0"/>
          <w:numId w:val="44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proofErr w:type="spellStart"/>
      <w:r w:rsidRPr="00B47F74">
        <w:rPr>
          <w:rFonts w:ascii="Titillium Web" w:hAnsi="Titillium Web" w:cs="Titillium Web"/>
          <w:color w:val="000000"/>
          <w:sz w:val="20"/>
          <w:szCs w:val="20"/>
        </w:rPr>
        <w:t>Auch</w:t>
      </w:r>
      <w:proofErr w:type="spellEnd"/>
      <w:r w:rsidRPr="00B47F74">
        <w:rPr>
          <w:rFonts w:ascii="Titillium Web" w:hAnsi="Titillium Web" w:cs="Titillium Web"/>
          <w:color w:val="000000"/>
          <w:sz w:val="20"/>
          <w:szCs w:val="20"/>
        </w:rPr>
        <w:t xml:space="preserve"> für Außenaufstellung geeignet</w:t>
      </w:r>
    </w:p>
    <w:p w14:paraId="556CDA2B" w14:textId="3A40093B" w:rsidR="007348CE" w:rsidRDefault="00B47F74" w:rsidP="00B47F74">
      <w:pPr>
        <w:pStyle w:val="Listenabsatz"/>
        <w:numPr>
          <w:ilvl w:val="0"/>
          <w:numId w:val="44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B47F74">
        <w:rPr>
          <w:rFonts w:ascii="Titillium Web" w:hAnsi="Titillium Web" w:cs="Titillium Web"/>
          <w:color w:val="000000"/>
          <w:sz w:val="20"/>
          <w:szCs w:val="20"/>
        </w:rPr>
        <w:t>Schneller Anschluss durch flexible Schläuche</w:t>
      </w:r>
    </w:p>
    <w:p w14:paraId="45AEFC44" w14:textId="77777777" w:rsidR="00B47F74" w:rsidRPr="00B47F74" w:rsidRDefault="00B47F74" w:rsidP="00B47F74">
      <w:pPr>
        <w:pStyle w:val="Listenabsatz"/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705B1737" w14:textId="71969E33" w:rsidR="00B47F74" w:rsidRPr="0012256C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Mietkonditionen</w:t>
      </w:r>
    </w:p>
    <w:p w14:paraId="72C95A0D" w14:textId="77777777" w:rsidR="00B47F74" w:rsidRPr="00B47F74" w:rsidRDefault="00B47F74" w:rsidP="00B47F74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B47F74">
        <w:rPr>
          <w:rFonts w:ascii="Titillium Web" w:hAnsi="Titillium Web" w:cs="Titillium Web"/>
          <w:color w:val="000000"/>
          <w:sz w:val="20"/>
          <w:szCs w:val="20"/>
        </w:rPr>
        <w:t>Anlieferung und Abholung</w:t>
      </w:r>
    </w:p>
    <w:p w14:paraId="3190AB4C" w14:textId="29FAFFED" w:rsidR="00B47F74" w:rsidRPr="00B47F74" w:rsidRDefault="00B47F74" w:rsidP="00B47F74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B47F74">
        <w:rPr>
          <w:rFonts w:ascii="Titillium Web" w:hAnsi="Titillium Web" w:cs="Titillium Web"/>
          <w:color w:val="000000"/>
          <w:sz w:val="20"/>
          <w:szCs w:val="20"/>
        </w:rPr>
        <w:t>Lieferzeit: kurzfristig, nach Absprache</w:t>
      </w:r>
    </w:p>
    <w:p w14:paraId="16083EC8" w14:textId="1FC84D8E" w:rsidR="00B47F74" w:rsidRPr="00B47F74" w:rsidRDefault="00B47F74" w:rsidP="00B47F74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B47F74">
        <w:rPr>
          <w:rFonts w:ascii="Titillium Web" w:hAnsi="Titillium Web" w:cs="Titillium Web"/>
          <w:color w:val="000000"/>
          <w:sz w:val="20"/>
          <w:szCs w:val="20"/>
        </w:rPr>
        <w:t>Inkl. Stromkabel 10 m</w:t>
      </w:r>
    </w:p>
    <w:p w14:paraId="555D2CA9" w14:textId="7FC02C89" w:rsidR="00B47F74" w:rsidRPr="00B47F74" w:rsidRDefault="00B47F74" w:rsidP="00B47F74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B47F74">
        <w:rPr>
          <w:rFonts w:ascii="Titillium Web" w:hAnsi="Titillium Web" w:cs="Titillium Web"/>
          <w:color w:val="000000"/>
          <w:sz w:val="20"/>
          <w:szCs w:val="20"/>
        </w:rPr>
        <w:t>Taggenaue Abrechnung nach Grundmiete</w:t>
      </w:r>
    </w:p>
    <w:p w14:paraId="01FB4E86" w14:textId="4DADCE01" w:rsidR="007348CE" w:rsidRDefault="00B47F74" w:rsidP="00B47F74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B47F74">
        <w:rPr>
          <w:rFonts w:ascii="Titillium Web" w:hAnsi="Titillium Web" w:cs="Titillium Web"/>
          <w:color w:val="000000"/>
          <w:sz w:val="20"/>
          <w:szCs w:val="20"/>
        </w:rPr>
        <w:t>Anliefertag und Abmeldetag werden als Miettag berechnet!</w:t>
      </w:r>
    </w:p>
    <w:p w14:paraId="1FC4CDD0" w14:textId="77777777" w:rsidR="00B47F74" w:rsidRPr="00B47F74" w:rsidRDefault="00B47F74" w:rsidP="00B47F74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946"/>
        <w:gridCol w:w="1807"/>
        <w:gridCol w:w="1950"/>
      </w:tblGrid>
      <w:tr w:rsidR="005C47D0" w:rsidRPr="009046C5" w14:paraId="165D7BB8" w14:textId="77777777" w:rsidTr="0095779B">
        <w:tc>
          <w:tcPr>
            <w:tcW w:w="4946" w:type="dxa"/>
            <w:vAlign w:val="center"/>
          </w:tcPr>
          <w:p w14:paraId="403F21E4" w14:textId="564E7CAE" w:rsidR="005C47D0" w:rsidRPr="00B47F74" w:rsidRDefault="00B47F74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B47F74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P</w:t>
            </w:r>
            <w:r w:rsidRPr="00B47F74">
              <w:rPr>
                <w:rStyle w:val="Taballe-Text"/>
                <w:rFonts w:ascii="Titillium Web" w:hAnsi="Titillium Web"/>
                <w:sz w:val="20"/>
                <w:szCs w:val="20"/>
              </w:rPr>
              <w:t>umpenaggregat MHP65</w:t>
            </w:r>
          </w:p>
        </w:tc>
        <w:tc>
          <w:tcPr>
            <w:tcW w:w="3757" w:type="dxa"/>
            <w:gridSpan w:val="2"/>
            <w:vAlign w:val="center"/>
          </w:tcPr>
          <w:p w14:paraId="21E62D1D" w14:textId="4948A4C1" w:rsidR="005C47D0" w:rsidRPr="00B47F74" w:rsidRDefault="005C47D0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B47F74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RG DL </w:t>
            </w:r>
            <w:r w:rsidR="007348CE" w:rsidRPr="00B47F74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Standard bis</w:t>
            </w:r>
            <w:r w:rsidR="009046C5" w:rsidRPr="00B47F74">
              <w:rPr>
                <w:rStyle w:val="Taballe-Text"/>
                <w:rFonts w:ascii="Titillium Web" w:hAnsi="Titillium Web"/>
                <w:sz w:val="20"/>
                <w:szCs w:val="20"/>
              </w:rPr>
              <w:t xml:space="preserve"> </w:t>
            </w:r>
            <w:r w:rsidR="007348CE" w:rsidRPr="00B47F74">
              <w:rPr>
                <w:rStyle w:val="Taballe-Text"/>
                <w:rFonts w:ascii="Titillium Web" w:hAnsi="Titillium Web"/>
                <w:sz w:val="20"/>
                <w:szCs w:val="20"/>
              </w:rPr>
              <w:t>120 kW</w:t>
            </w:r>
          </w:p>
        </w:tc>
      </w:tr>
      <w:tr w:rsidR="008C06DB" w:rsidRPr="0012256C" w14:paraId="7EBC35C6" w14:textId="77777777" w:rsidTr="0095779B">
        <w:tc>
          <w:tcPr>
            <w:tcW w:w="4946" w:type="dxa"/>
          </w:tcPr>
          <w:p w14:paraId="35C298E8" w14:textId="56668C7E" w:rsidR="008C06DB" w:rsidRPr="0012256C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12256C">
              <w:rPr>
                <w:rFonts w:ascii="Titillium Web" w:hAnsi="Titillium Web"/>
                <w:sz w:val="20"/>
                <w:szCs w:val="20"/>
              </w:rPr>
              <w:t>Mietkonditionen</w:t>
            </w:r>
          </w:p>
        </w:tc>
        <w:tc>
          <w:tcPr>
            <w:tcW w:w="1807" w:type="dxa"/>
          </w:tcPr>
          <w:p w14:paraId="0570D66D" w14:textId="216B7C5F" w:rsidR="008C06DB" w:rsidRPr="0012256C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12256C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50" w:type="dxa"/>
          </w:tcPr>
          <w:p w14:paraId="54DEB46A" w14:textId="00EBE54B" w:rsidR="008C06DB" w:rsidRPr="0012256C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12256C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B47F74" w:rsidRPr="0012256C" w14:paraId="641F27A3" w14:textId="3E15F382" w:rsidTr="0095779B">
        <w:tc>
          <w:tcPr>
            <w:tcW w:w="4946" w:type="dxa"/>
            <w:vAlign w:val="center"/>
          </w:tcPr>
          <w:p w14:paraId="3055BC22" w14:textId="31B46213" w:rsidR="00B47F74" w:rsidRPr="00B47F74" w:rsidRDefault="00B47F74" w:rsidP="00B47F74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B47F74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Transport</w:t>
            </w:r>
          </w:p>
        </w:tc>
        <w:tc>
          <w:tcPr>
            <w:tcW w:w="1807" w:type="dxa"/>
            <w:vAlign w:val="center"/>
          </w:tcPr>
          <w:p w14:paraId="2AF9082C" w14:textId="12EE0199" w:rsidR="00B47F74" w:rsidRPr="00B47F74" w:rsidRDefault="00B47F74" w:rsidP="00B47F74">
            <w:pPr>
              <w:pStyle w:val="EinfAbs"/>
              <w:rPr>
                <w:rFonts w:ascii="Titillium Web" w:hAnsi="Titillium Web" w:cs="Titillium Web"/>
                <w:color w:val="auto"/>
                <w:sz w:val="20"/>
                <w:szCs w:val="20"/>
              </w:rPr>
            </w:pPr>
            <w:r w:rsidRPr="00B47F74">
              <w:rPr>
                <w:rFonts w:ascii="Titillium Web" w:hAnsi="Titillium Web" w:cs="Titillium Web"/>
                <w:sz w:val="20"/>
                <w:szCs w:val="20"/>
              </w:rPr>
              <w:t>MHP65V</w:t>
            </w:r>
          </w:p>
        </w:tc>
        <w:tc>
          <w:tcPr>
            <w:tcW w:w="1950" w:type="dxa"/>
            <w:vAlign w:val="center"/>
          </w:tcPr>
          <w:p w14:paraId="6B2BA5CE" w14:textId="1570C0E1" w:rsidR="00B47F74" w:rsidRPr="00B47F74" w:rsidRDefault="00B47F74" w:rsidP="00B47F7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B47F74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523,00</w:t>
            </w:r>
          </w:p>
        </w:tc>
      </w:tr>
      <w:tr w:rsidR="00B47F74" w:rsidRPr="0012256C" w14:paraId="360B0D42" w14:textId="0484B90A" w:rsidTr="0095779B">
        <w:tc>
          <w:tcPr>
            <w:tcW w:w="4946" w:type="dxa"/>
            <w:vAlign w:val="center"/>
          </w:tcPr>
          <w:p w14:paraId="1A407667" w14:textId="350BCCC5" w:rsidR="00B47F74" w:rsidRPr="00B47F74" w:rsidRDefault="00B47F74" w:rsidP="00B47F7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B47F74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8. Tag)</w:t>
            </w:r>
          </w:p>
        </w:tc>
        <w:tc>
          <w:tcPr>
            <w:tcW w:w="1807" w:type="dxa"/>
            <w:vAlign w:val="center"/>
          </w:tcPr>
          <w:p w14:paraId="607B12F9" w14:textId="529420CC" w:rsidR="00B47F74" w:rsidRPr="00B47F74" w:rsidRDefault="00B47F74" w:rsidP="00B47F7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B47F74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B47F74">
              <w:rPr>
                <w:rFonts w:ascii="Titillium Web" w:hAnsi="Titillium Web" w:cs="Titillium Web"/>
                <w:sz w:val="20"/>
                <w:szCs w:val="20"/>
              </w:rPr>
              <w:t>P65</w:t>
            </w:r>
            <w:r w:rsidRPr="00B47F74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</w:t>
            </w:r>
          </w:p>
        </w:tc>
        <w:tc>
          <w:tcPr>
            <w:tcW w:w="1950" w:type="dxa"/>
            <w:vAlign w:val="center"/>
          </w:tcPr>
          <w:p w14:paraId="72BB6901" w14:textId="011ED46A" w:rsidR="00B47F74" w:rsidRPr="00B47F74" w:rsidRDefault="00B47F74" w:rsidP="00B47F7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B47F74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32,00</w:t>
            </w:r>
          </w:p>
        </w:tc>
      </w:tr>
      <w:tr w:rsidR="00B47F74" w:rsidRPr="0012256C" w14:paraId="2BF1FAF3" w14:textId="77777777" w:rsidTr="0095779B">
        <w:tc>
          <w:tcPr>
            <w:tcW w:w="4946" w:type="dxa"/>
            <w:vAlign w:val="center"/>
          </w:tcPr>
          <w:p w14:paraId="0951DB22" w14:textId="0248ABC7" w:rsidR="00B47F74" w:rsidRPr="00B47F74" w:rsidRDefault="00B47F74" w:rsidP="00B47F7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B47F74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Monatsgrundmiete (30 Tage), inklusive Transport</w:t>
            </w:r>
          </w:p>
        </w:tc>
        <w:tc>
          <w:tcPr>
            <w:tcW w:w="1807" w:type="dxa"/>
            <w:vAlign w:val="center"/>
          </w:tcPr>
          <w:p w14:paraId="2450543C" w14:textId="4D39973D" w:rsidR="00B47F74" w:rsidRPr="00B47F74" w:rsidRDefault="00B47F74" w:rsidP="00B47F7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B47F74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B47F74">
              <w:rPr>
                <w:rFonts w:ascii="Titillium Web" w:hAnsi="Titillium Web" w:cs="Titillium Web"/>
                <w:sz w:val="20"/>
                <w:szCs w:val="20"/>
              </w:rPr>
              <w:t>P65</w:t>
            </w:r>
            <w:r w:rsidRPr="00B47F74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VM</w:t>
            </w:r>
          </w:p>
        </w:tc>
        <w:tc>
          <w:tcPr>
            <w:tcW w:w="1950" w:type="dxa"/>
            <w:vAlign w:val="center"/>
          </w:tcPr>
          <w:p w14:paraId="38BC5412" w14:textId="076A8FEA" w:rsidR="00B47F74" w:rsidRPr="00B47F74" w:rsidRDefault="00B47F74" w:rsidP="00B47F7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B47F74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1.040,00</w:t>
            </w:r>
          </w:p>
        </w:tc>
      </w:tr>
      <w:tr w:rsidR="00B47F74" w:rsidRPr="0012256C" w14:paraId="0FC36BEE" w14:textId="77777777" w:rsidTr="0095779B">
        <w:tc>
          <w:tcPr>
            <w:tcW w:w="4946" w:type="dxa"/>
            <w:vAlign w:val="center"/>
          </w:tcPr>
          <w:p w14:paraId="527CF94D" w14:textId="42479C4A" w:rsidR="00B47F74" w:rsidRPr="00B47F74" w:rsidRDefault="00B47F74" w:rsidP="00B47F7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B47F74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31. Tag)</w:t>
            </w:r>
          </w:p>
        </w:tc>
        <w:tc>
          <w:tcPr>
            <w:tcW w:w="1807" w:type="dxa"/>
            <w:vAlign w:val="center"/>
          </w:tcPr>
          <w:p w14:paraId="1F74E554" w14:textId="49DDD98A" w:rsidR="00B47F74" w:rsidRPr="00B47F74" w:rsidRDefault="00B47F74" w:rsidP="00B47F7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B47F74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B47F74">
              <w:rPr>
                <w:rFonts w:ascii="Titillium Web" w:hAnsi="Titillium Web" w:cs="Titillium Web"/>
                <w:sz w:val="20"/>
                <w:szCs w:val="20"/>
              </w:rPr>
              <w:t>P65</w:t>
            </w:r>
            <w:r w:rsidRPr="00B47F74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VT31</w:t>
            </w:r>
          </w:p>
        </w:tc>
        <w:tc>
          <w:tcPr>
            <w:tcW w:w="1950" w:type="dxa"/>
            <w:vAlign w:val="center"/>
          </w:tcPr>
          <w:p w14:paraId="628E7FA3" w14:textId="1E86DCE0" w:rsidR="00B47F74" w:rsidRPr="00B47F74" w:rsidRDefault="00B47F74" w:rsidP="00B47F7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B47F74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27,00</w:t>
            </w:r>
          </w:p>
        </w:tc>
      </w:tr>
      <w:tr w:rsidR="00B47F74" w:rsidRPr="0012256C" w14:paraId="7ADADC2C" w14:textId="77777777" w:rsidTr="0095779B">
        <w:tc>
          <w:tcPr>
            <w:tcW w:w="4946" w:type="dxa"/>
            <w:vAlign w:val="center"/>
          </w:tcPr>
          <w:p w14:paraId="7BFFD8DE" w14:textId="06BBDD5A" w:rsidR="00B47F74" w:rsidRPr="00B47F74" w:rsidRDefault="00B47F74" w:rsidP="00B47F7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B47F74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121. Tag)</w:t>
            </w:r>
          </w:p>
        </w:tc>
        <w:tc>
          <w:tcPr>
            <w:tcW w:w="1807" w:type="dxa"/>
            <w:vAlign w:val="center"/>
          </w:tcPr>
          <w:p w14:paraId="212FB489" w14:textId="35F01831" w:rsidR="00B47F74" w:rsidRPr="00B47F74" w:rsidRDefault="00B47F74" w:rsidP="00B47F7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B47F74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B47F74">
              <w:rPr>
                <w:rFonts w:ascii="Titillium Web" w:hAnsi="Titillium Web" w:cs="Titillium Web"/>
                <w:sz w:val="20"/>
                <w:szCs w:val="20"/>
              </w:rPr>
              <w:t>P65</w:t>
            </w:r>
            <w:r w:rsidRPr="00B47F74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VT121</w:t>
            </w:r>
          </w:p>
        </w:tc>
        <w:tc>
          <w:tcPr>
            <w:tcW w:w="1950" w:type="dxa"/>
            <w:vAlign w:val="center"/>
          </w:tcPr>
          <w:p w14:paraId="3E2DB739" w14:textId="71C8A398" w:rsidR="00B47F74" w:rsidRPr="00B47F74" w:rsidRDefault="00B47F74" w:rsidP="00B47F7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sz w:val="20"/>
                <w:szCs w:val="20"/>
              </w:rPr>
            </w:pPr>
            <w:r w:rsidRPr="00B47F74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22,00</w:t>
            </w:r>
          </w:p>
        </w:tc>
      </w:tr>
      <w:tr w:rsidR="00B47F74" w:rsidRPr="0012256C" w14:paraId="2FCBFF26" w14:textId="77777777" w:rsidTr="0095779B">
        <w:tc>
          <w:tcPr>
            <w:tcW w:w="4946" w:type="dxa"/>
            <w:vAlign w:val="center"/>
          </w:tcPr>
          <w:p w14:paraId="1876B249" w14:textId="5AC48422" w:rsidR="00B47F74" w:rsidRPr="00B47F74" w:rsidRDefault="00B47F74" w:rsidP="00B47F7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B47F74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181. Tag)</w:t>
            </w:r>
          </w:p>
        </w:tc>
        <w:tc>
          <w:tcPr>
            <w:tcW w:w="1807" w:type="dxa"/>
            <w:vAlign w:val="center"/>
          </w:tcPr>
          <w:p w14:paraId="1CA2471B" w14:textId="74E7E20F" w:rsidR="00B47F74" w:rsidRPr="00B47F74" w:rsidRDefault="00B47F74" w:rsidP="00B47F7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B47F74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B47F74">
              <w:rPr>
                <w:rFonts w:ascii="Titillium Web" w:hAnsi="Titillium Web" w:cs="Titillium Web"/>
                <w:sz w:val="20"/>
                <w:szCs w:val="20"/>
              </w:rPr>
              <w:t>P65</w:t>
            </w:r>
            <w:r w:rsidRPr="00B47F74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VT181</w:t>
            </w:r>
          </w:p>
        </w:tc>
        <w:tc>
          <w:tcPr>
            <w:tcW w:w="1950" w:type="dxa"/>
            <w:vAlign w:val="center"/>
          </w:tcPr>
          <w:p w14:paraId="188E8D36" w14:textId="4AC96673" w:rsidR="00B47F74" w:rsidRPr="00B47F74" w:rsidRDefault="00B47F74" w:rsidP="00B47F7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sz w:val="20"/>
                <w:szCs w:val="20"/>
              </w:rPr>
            </w:pPr>
            <w:r w:rsidRPr="00B47F74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17,00</w:t>
            </w:r>
          </w:p>
        </w:tc>
      </w:tr>
      <w:tr w:rsidR="00B47F74" w:rsidRPr="0012256C" w14:paraId="62FFB92A" w14:textId="77777777" w:rsidTr="0095779B">
        <w:tc>
          <w:tcPr>
            <w:tcW w:w="4946" w:type="dxa"/>
            <w:vAlign w:val="center"/>
          </w:tcPr>
          <w:p w14:paraId="012CC988" w14:textId="6F1DB061" w:rsidR="00B47F74" w:rsidRPr="00B47F74" w:rsidRDefault="00B47F74" w:rsidP="00B47F74">
            <w:pPr>
              <w:rPr>
                <w:rFonts w:ascii="Titillium Web" w:hAnsi="Titillium Web"/>
                <w:sz w:val="20"/>
                <w:szCs w:val="20"/>
              </w:rPr>
            </w:pPr>
            <w:r w:rsidRPr="00B47F74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 und Inbetriebnahme (IBN) mobiheat</w:t>
            </w:r>
          </w:p>
        </w:tc>
        <w:tc>
          <w:tcPr>
            <w:tcW w:w="1807" w:type="dxa"/>
            <w:vAlign w:val="center"/>
          </w:tcPr>
          <w:p w14:paraId="2E3C1F21" w14:textId="7F7526AE" w:rsidR="00B47F74" w:rsidRPr="00B47F74" w:rsidRDefault="00B47F74" w:rsidP="00B47F74">
            <w:pPr>
              <w:rPr>
                <w:rFonts w:ascii="Titillium Web" w:hAnsi="Titillium Web"/>
                <w:sz w:val="20"/>
                <w:szCs w:val="20"/>
              </w:rPr>
            </w:pPr>
            <w:r w:rsidRPr="00B47F74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MHPIBN</w:t>
            </w:r>
          </w:p>
        </w:tc>
        <w:tc>
          <w:tcPr>
            <w:tcW w:w="1950" w:type="dxa"/>
            <w:vAlign w:val="center"/>
          </w:tcPr>
          <w:p w14:paraId="5382FBB9" w14:textId="2DDEE00E" w:rsidR="00B47F74" w:rsidRPr="00B47F74" w:rsidRDefault="00B47F74" w:rsidP="00B47F74">
            <w:pPr>
              <w:rPr>
                <w:rFonts w:ascii="Titillium Web" w:hAnsi="Titillium Web"/>
                <w:sz w:val="20"/>
                <w:szCs w:val="20"/>
              </w:rPr>
            </w:pPr>
            <w:r w:rsidRPr="00B47F74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186,00</w:t>
            </w:r>
          </w:p>
        </w:tc>
      </w:tr>
    </w:tbl>
    <w:p w14:paraId="4058E86E" w14:textId="77777777" w:rsidR="007367D9" w:rsidRPr="0012256C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12256C" w:rsidSect="004708F8">
      <w:headerReference w:type="default" r:id="rId8"/>
      <w:pgSz w:w="11906" w:h="16838"/>
      <w:pgMar w:top="1843" w:right="1416" w:bottom="241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CAB"/>
    <w:multiLevelType w:val="hybridMultilevel"/>
    <w:tmpl w:val="6562F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6C0F"/>
    <w:multiLevelType w:val="hybridMultilevel"/>
    <w:tmpl w:val="777A1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C3122"/>
    <w:multiLevelType w:val="hybridMultilevel"/>
    <w:tmpl w:val="6122E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B2A40"/>
    <w:multiLevelType w:val="hybridMultilevel"/>
    <w:tmpl w:val="5A2A4ED0"/>
    <w:lvl w:ilvl="0" w:tplc="CBD2C4A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C3656"/>
    <w:multiLevelType w:val="hybridMultilevel"/>
    <w:tmpl w:val="99329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312AF"/>
    <w:multiLevelType w:val="hybridMultilevel"/>
    <w:tmpl w:val="E0ACB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B1427"/>
    <w:multiLevelType w:val="hybridMultilevel"/>
    <w:tmpl w:val="C032C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B08B1"/>
    <w:multiLevelType w:val="hybridMultilevel"/>
    <w:tmpl w:val="1CAEA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07D1D"/>
    <w:multiLevelType w:val="hybridMultilevel"/>
    <w:tmpl w:val="4B600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2610E"/>
    <w:multiLevelType w:val="hybridMultilevel"/>
    <w:tmpl w:val="481E3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165C2"/>
    <w:multiLevelType w:val="hybridMultilevel"/>
    <w:tmpl w:val="FAD43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E6B67"/>
    <w:multiLevelType w:val="hybridMultilevel"/>
    <w:tmpl w:val="41DA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C5D77"/>
    <w:multiLevelType w:val="hybridMultilevel"/>
    <w:tmpl w:val="CA76B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244EB"/>
    <w:multiLevelType w:val="hybridMultilevel"/>
    <w:tmpl w:val="52C82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00D17"/>
    <w:multiLevelType w:val="hybridMultilevel"/>
    <w:tmpl w:val="803E6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7796C"/>
    <w:multiLevelType w:val="hybridMultilevel"/>
    <w:tmpl w:val="F74C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D3479"/>
    <w:multiLevelType w:val="hybridMultilevel"/>
    <w:tmpl w:val="A3C09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C7451"/>
    <w:multiLevelType w:val="hybridMultilevel"/>
    <w:tmpl w:val="48FC5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21067"/>
    <w:multiLevelType w:val="hybridMultilevel"/>
    <w:tmpl w:val="DED64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A2431"/>
    <w:multiLevelType w:val="hybridMultilevel"/>
    <w:tmpl w:val="57EC6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35639"/>
    <w:multiLevelType w:val="hybridMultilevel"/>
    <w:tmpl w:val="0CF6B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96730"/>
    <w:multiLevelType w:val="hybridMultilevel"/>
    <w:tmpl w:val="EE2E0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F6692"/>
    <w:multiLevelType w:val="hybridMultilevel"/>
    <w:tmpl w:val="63148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23070"/>
    <w:multiLevelType w:val="hybridMultilevel"/>
    <w:tmpl w:val="072456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12245"/>
    <w:multiLevelType w:val="hybridMultilevel"/>
    <w:tmpl w:val="E45C1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346DA"/>
    <w:multiLevelType w:val="hybridMultilevel"/>
    <w:tmpl w:val="AC34C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0"/>
  </w:num>
  <w:num w:numId="4">
    <w:abstractNumId w:val="23"/>
  </w:num>
  <w:num w:numId="5">
    <w:abstractNumId w:val="43"/>
  </w:num>
  <w:num w:numId="6">
    <w:abstractNumId w:val="7"/>
  </w:num>
  <w:num w:numId="7">
    <w:abstractNumId w:val="29"/>
  </w:num>
  <w:num w:numId="8">
    <w:abstractNumId w:val="6"/>
  </w:num>
  <w:num w:numId="9">
    <w:abstractNumId w:val="28"/>
  </w:num>
  <w:num w:numId="10">
    <w:abstractNumId w:val="18"/>
  </w:num>
  <w:num w:numId="11">
    <w:abstractNumId w:val="4"/>
  </w:num>
  <w:num w:numId="12">
    <w:abstractNumId w:val="14"/>
  </w:num>
  <w:num w:numId="13">
    <w:abstractNumId w:val="15"/>
  </w:num>
  <w:num w:numId="14">
    <w:abstractNumId w:val="41"/>
  </w:num>
  <w:num w:numId="15">
    <w:abstractNumId w:val="24"/>
  </w:num>
  <w:num w:numId="16">
    <w:abstractNumId w:val="32"/>
  </w:num>
  <w:num w:numId="17">
    <w:abstractNumId w:val="5"/>
  </w:num>
  <w:num w:numId="18">
    <w:abstractNumId w:val="36"/>
  </w:num>
  <w:num w:numId="19">
    <w:abstractNumId w:val="34"/>
  </w:num>
  <w:num w:numId="20">
    <w:abstractNumId w:val="35"/>
  </w:num>
  <w:num w:numId="21">
    <w:abstractNumId w:val="8"/>
  </w:num>
  <w:num w:numId="22">
    <w:abstractNumId w:val="21"/>
  </w:num>
  <w:num w:numId="23">
    <w:abstractNumId w:val="25"/>
  </w:num>
  <w:num w:numId="24">
    <w:abstractNumId w:val="27"/>
  </w:num>
  <w:num w:numId="25">
    <w:abstractNumId w:val="40"/>
  </w:num>
  <w:num w:numId="26">
    <w:abstractNumId w:val="42"/>
  </w:num>
  <w:num w:numId="27">
    <w:abstractNumId w:val="33"/>
  </w:num>
  <w:num w:numId="28">
    <w:abstractNumId w:val="2"/>
  </w:num>
  <w:num w:numId="29">
    <w:abstractNumId w:val="26"/>
  </w:num>
  <w:num w:numId="30">
    <w:abstractNumId w:val="12"/>
  </w:num>
  <w:num w:numId="31">
    <w:abstractNumId w:val="20"/>
  </w:num>
  <w:num w:numId="32">
    <w:abstractNumId w:val="37"/>
  </w:num>
  <w:num w:numId="33">
    <w:abstractNumId w:val="44"/>
  </w:num>
  <w:num w:numId="34">
    <w:abstractNumId w:val="22"/>
  </w:num>
  <w:num w:numId="35">
    <w:abstractNumId w:val="38"/>
  </w:num>
  <w:num w:numId="36">
    <w:abstractNumId w:val="1"/>
  </w:num>
  <w:num w:numId="37">
    <w:abstractNumId w:val="16"/>
  </w:num>
  <w:num w:numId="38">
    <w:abstractNumId w:val="11"/>
  </w:num>
  <w:num w:numId="39">
    <w:abstractNumId w:val="3"/>
  </w:num>
  <w:num w:numId="40">
    <w:abstractNumId w:val="30"/>
  </w:num>
  <w:num w:numId="41">
    <w:abstractNumId w:val="17"/>
  </w:num>
  <w:num w:numId="42">
    <w:abstractNumId w:val="19"/>
  </w:num>
  <w:num w:numId="43">
    <w:abstractNumId w:val="9"/>
  </w:num>
  <w:num w:numId="44">
    <w:abstractNumId w:val="39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0B53B9"/>
    <w:rsid w:val="00114CB7"/>
    <w:rsid w:val="0012033A"/>
    <w:rsid w:val="0012256C"/>
    <w:rsid w:val="00153D61"/>
    <w:rsid w:val="00196C33"/>
    <w:rsid w:val="001A7B71"/>
    <w:rsid w:val="001B377C"/>
    <w:rsid w:val="002169EF"/>
    <w:rsid w:val="00227276"/>
    <w:rsid w:val="0029498C"/>
    <w:rsid w:val="002B5C37"/>
    <w:rsid w:val="003A6CA2"/>
    <w:rsid w:val="003A6D82"/>
    <w:rsid w:val="003B3036"/>
    <w:rsid w:val="003C1AD4"/>
    <w:rsid w:val="00433D9C"/>
    <w:rsid w:val="004531C2"/>
    <w:rsid w:val="004708F8"/>
    <w:rsid w:val="004A4EEA"/>
    <w:rsid w:val="004B7DF0"/>
    <w:rsid w:val="005C47D0"/>
    <w:rsid w:val="007348CE"/>
    <w:rsid w:val="007367D9"/>
    <w:rsid w:val="007612CA"/>
    <w:rsid w:val="00765E95"/>
    <w:rsid w:val="00792BDF"/>
    <w:rsid w:val="007A140C"/>
    <w:rsid w:val="00864D2E"/>
    <w:rsid w:val="008C06DB"/>
    <w:rsid w:val="008E2135"/>
    <w:rsid w:val="009046C5"/>
    <w:rsid w:val="00914D83"/>
    <w:rsid w:val="00923EB7"/>
    <w:rsid w:val="00930139"/>
    <w:rsid w:val="0095779B"/>
    <w:rsid w:val="009D2A9B"/>
    <w:rsid w:val="00A41C82"/>
    <w:rsid w:val="00B05BDE"/>
    <w:rsid w:val="00B47F74"/>
    <w:rsid w:val="00B7246D"/>
    <w:rsid w:val="00BA23CD"/>
    <w:rsid w:val="00BA4D23"/>
    <w:rsid w:val="00C51EB6"/>
    <w:rsid w:val="00D26D1E"/>
    <w:rsid w:val="00D96EEC"/>
    <w:rsid w:val="00DF07CB"/>
    <w:rsid w:val="00E135ED"/>
    <w:rsid w:val="00F5066B"/>
    <w:rsid w:val="00FB5A16"/>
    <w:rsid w:val="00FB651B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2021-03-09T10:07:00Z</dcterms:created>
  <dcterms:modified xsi:type="dcterms:W3CDTF">2021-03-09T10:07:00Z</dcterms:modified>
</cp:coreProperties>
</file>