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3DB6" w14:textId="77777777" w:rsidR="0031008B" w:rsidRPr="00DD06C0" w:rsidRDefault="0031008B" w:rsidP="0031008B">
      <w:pPr>
        <w:spacing w:line="240" w:lineRule="auto"/>
        <w:rPr>
          <w:rFonts w:ascii="Titillium Web" w:hAnsi="Titillium Web"/>
          <w:b/>
          <w:bCs/>
          <w:sz w:val="20"/>
          <w:szCs w:val="20"/>
        </w:rPr>
      </w:pPr>
      <w:bookmarkStart w:id="0" w:name="_Hlk64973301"/>
      <w:bookmarkStart w:id="1" w:name="_Hlk64978827"/>
      <w:bookmarkStart w:id="2" w:name="_Hlk64990472"/>
      <w:bookmarkStart w:id="3" w:name="_Hlk65045959"/>
      <w:r w:rsidRPr="00DD06C0">
        <w:rPr>
          <w:rFonts w:ascii="Titillium Web" w:hAnsi="Titillium Web"/>
          <w:b/>
          <w:bCs/>
          <w:sz w:val="20"/>
          <w:szCs w:val="20"/>
        </w:rPr>
        <w:t>Mobiheat M</w:t>
      </w:r>
      <w:r>
        <w:rPr>
          <w:rFonts w:ascii="Titillium Web" w:hAnsi="Titillium Web"/>
          <w:b/>
          <w:bCs/>
          <w:sz w:val="20"/>
          <w:szCs w:val="20"/>
        </w:rPr>
        <w:t>D600F | 600 kg/h mobile Dampfanlage</w:t>
      </w:r>
    </w:p>
    <w:bookmarkEnd w:id="0"/>
    <w:bookmarkEnd w:id="1"/>
    <w:bookmarkEnd w:id="2"/>
    <w:bookmarkEnd w:id="3"/>
    <w:p w14:paraId="4CEB35B3" w14:textId="77777777" w:rsidR="0031008B" w:rsidRPr="00B57BAE" w:rsidRDefault="0031008B" w:rsidP="0031008B">
      <w:pPr>
        <w:autoSpaceDE w:val="0"/>
        <w:autoSpaceDN w:val="0"/>
        <w:adjustRightInd w:val="0"/>
        <w:spacing w:after="0" w:line="260" w:lineRule="atLeast"/>
        <w:textAlignment w:val="center"/>
        <w:rPr>
          <w:rFonts w:ascii="Titillium Web" w:hAnsi="Titillium Web" w:cs="Titillium Web"/>
          <w:color w:val="000000"/>
          <w:sz w:val="20"/>
          <w:szCs w:val="20"/>
        </w:rPr>
      </w:pPr>
      <w:r w:rsidRPr="00B57BAE">
        <w:rPr>
          <w:rFonts w:ascii="Titillium Web" w:hAnsi="Titillium Web" w:cs="Titillium Web"/>
          <w:color w:val="000000"/>
          <w:sz w:val="20"/>
          <w:szCs w:val="20"/>
        </w:rPr>
        <w:t>Die mobile Dampfzentrale MD600F ist eine fahrbare und sofort betriebsbereite Dampfanlage auf einem Tandemanhänger für den mobilen Einsatz und autarken Betrieb.</w:t>
      </w:r>
    </w:p>
    <w:p w14:paraId="7677F1E9" w14:textId="77777777" w:rsidR="0031008B" w:rsidRPr="00B57BAE" w:rsidRDefault="0031008B" w:rsidP="0031008B">
      <w:pPr>
        <w:autoSpaceDE w:val="0"/>
        <w:autoSpaceDN w:val="0"/>
        <w:adjustRightInd w:val="0"/>
        <w:spacing w:after="0" w:line="260" w:lineRule="atLeast"/>
        <w:textAlignment w:val="center"/>
        <w:rPr>
          <w:rFonts w:ascii="Titillium Web" w:hAnsi="Titillium Web" w:cs="Titillium Web"/>
          <w:color w:val="000000"/>
          <w:sz w:val="20"/>
          <w:szCs w:val="20"/>
        </w:rPr>
      </w:pPr>
      <w:r w:rsidRPr="00B57BAE">
        <w:rPr>
          <w:rFonts w:ascii="Titillium Web" w:hAnsi="Titillium Web" w:cs="Titillium Web"/>
          <w:color w:val="000000"/>
          <w:sz w:val="20"/>
          <w:szCs w:val="20"/>
        </w:rPr>
        <w:t xml:space="preserve">Die Anlage ist ausgestattet mit Wasserservicemodul, Wasseraufbereitung, Härteüberwachung, Automatikstarteinrichtung für </w:t>
      </w:r>
      <w:proofErr w:type="spellStart"/>
      <w:r w:rsidRPr="00B57BAE">
        <w:rPr>
          <w:rFonts w:ascii="Titillium Web" w:hAnsi="Titillium Web" w:cs="Titillium Web"/>
          <w:color w:val="000000"/>
          <w:sz w:val="20"/>
          <w:szCs w:val="20"/>
        </w:rPr>
        <w:t>autom</w:t>
      </w:r>
      <w:proofErr w:type="spellEnd"/>
      <w:r w:rsidRPr="00B57BAE">
        <w:rPr>
          <w:rFonts w:ascii="Titillium Web" w:hAnsi="Titillium Web" w:cs="Titillium Web"/>
          <w:color w:val="000000"/>
          <w:sz w:val="20"/>
          <w:szCs w:val="20"/>
        </w:rPr>
        <w:t>. Betrieb und Außerbetriebnahme, Wasserprobekühleinrichtung und automatischer Chemikaliendosierung.</w:t>
      </w:r>
    </w:p>
    <w:p w14:paraId="72886855" w14:textId="129C3432" w:rsidR="0031008B" w:rsidRDefault="0031008B" w:rsidP="0031008B">
      <w:pPr>
        <w:autoSpaceDE w:val="0"/>
        <w:autoSpaceDN w:val="0"/>
        <w:adjustRightInd w:val="0"/>
        <w:spacing w:after="0" w:line="240" w:lineRule="auto"/>
        <w:textAlignment w:val="center"/>
        <w:rPr>
          <w:rFonts w:ascii="Titillium Web" w:hAnsi="Titillium Web" w:cs="Titillium Web"/>
          <w:color w:val="000000"/>
          <w:sz w:val="20"/>
          <w:szCs w:val="20"/>
        </w:rPr>
      </w:pPr>
      <w:r w:rsidRPr="00B57BAE">
        <w:rPr>
          <w:rFonts w:ascii="Titillium Web" w:hAnsi="Titillium Web" w:cs="Titillium Web"/>
          <w:color w:val="000000"/>
          <w:sz w:val="20"/>
          <w:szCs w:val="20"/>
        </w:rPr>
        <w:t>Unsere mobilen Dampfzentralen sind alle nach neuestem Stand der Technik entwickelt und mit Kessel und Komponenten von namhaften Herstellern ausgestattet. So garantieren wir für einen zuverlässigen und umweltverträglichen Betrieb. Unsere Anlagen werden ständigen Kontrollen und regelmäßigen Wartungsarbeiten unterzogen.</w:t>
      </w:r>
    </w:p>
    <w:p w14:paraId="0D8B200F" w14:textId="74B5AF02" w:rsidR="0031008B" w:rsidRDefault="0031008B" w:rsidP="0031008B">
      <w:pPr>
        <w:autoSpaceDE w:val="0"/>
        <w:autoSpaceDN w:val="0"/>
        <w:adjustRightInd w:val="0"/>
        <w:spacing w:after="0" w:line="240" w:lineRule="auto"/>
        <w:textAlignment w:val="center"/>
        <w:rPr>
          <w:rFonts w:ascii="Titillium Web" w:hAnsi="Titillium Web" w:cs="Titillium Web"/>
          <w:color w:val="000000"/>
          <w:sz w:val="20"/>
          <w:szCs w:val="20"/>
        </w:rPr>
      </w:pPr>
    </w:p>
    <w:p w14:paraId="7907C5B3" w14:textId="3A386C79" w:rsidR="0031008B" w:rsidRDefault="0031008B" w:rsidP="0031008B">
      <w:pPr>
        <w:autoSpaceDE w:val="0"/>
        <w:autoSpaceDN w:val="0"/>
        <w:adjustRightInd w:val="0"/>
        <w:spacing w:after="0" w:line="240" w:lineRule="auto"/>
        <w:textAlignment w:val="center"/>
        <w:rPr>
          <w:rFonts w:ascii="Titillium Web" w:hAnsi="Titillium Web" w:cs="Titillium Web"/>
          <w:color w:val="000000"/>
          <w:sz w:val="20"/>
          <w:szCs w:val="20"/>
        </w:rPr>
      </w:pPr>
    </w:p>
    <w:p w14:paraId="21A62EF5" w14:textId="39431378" w:rsidR="0031008B" w:rsidRDefault="0031008B" w:rsidP="0031008B">
      <w:pPr>
        <w:autoSpaceDE w:val="0"/>
        <w:autoSpaceDN w:val="0"/>
        <w:adjustRightInd w:val="0"/>
        <w:spacing w:after="0" w:line="240" w:lineRule="auto"/>
        <w:textAlignment w:val="center"/>
        <w:rPr>
          <w:rFonts w:ascii="Titillium Web" w:hAnsi="Titillium Web" w:cs="Titillium Web"/>
          <w:color w:val="000000"/>
          <w:sz w:val="20"/>
          <w:szCs w:val="20"/>
        </w:rPr>
      </w:pPr>
      <w:r>
        <w:rPr>
          <w:rFonts w:ascii="Titillium Web" w:hAnsi="Titillium Web" w:cs="Titillium Web"/>
          <w:color w:val="000000"/>
          <w:sz w:val="20"/>
          <w:szCs w:val="20"/>
        </w:rPr>
        <w:t>Kaufkonditionen</w:t>
      </w:r>
    </w:p>
    <w:p w14:paraId="246AE5E1" w14:textId="77777777" w:rsidR="0031008B" w:rsidRPr="0031008B" w:rsidRDefault="0031008B" w:rsidP="0031008B">
      <w:pPr>
        <w:pStyle w:val="Listenabsatz"/>
        <w:numPr>
          <w:ilvl w:val="0"/>
          <w:numId w:val="23"/>
        </w:numPr>
        <w:autoSpaceDE w:val="0"/>
        <w:autoSpaceDN w:val="0"/>
        <w:adjustRightInd w:val="0"/>
        <w:spacing w:after="0" w:line="260" w:lineRule="atLeast"/>
        <w:textAlignment w:val="center"/>
        <w:rPr>
          <w:rFonts w:ascii="Titillium Web" w:hAnsi="Titillium Web" w:cs="Titillium Web"/>
          <w:color w:val="000000"/>
          <w:sz w:val="20"/>
          <w:szCs w:val="20"/>
        </w:rPr>
      </w:pPr>
      <w:r w:rsidRPr="0031008B">
        <w:rPr>
          <w:rFonts w:ascii="Titillium Web" w:hAnsi="Titillium Web" w:cs="Titillium Web"/>
          <w:color w:val="000000"/>
          <w:sz w:val="20"/>
          <w:szCs w:val="20"/>
        </w:rPr>
        <w:t xml:space="preserve">Lieferzeit: ca. 12-14 Wochen </w:t>
      </w:r>
    </w:p>
    <w:p w14:paraId="609A1D71" w14:textId="2B4401A5" w:rsidR="0031008B" w:rsidRPr="0031008B" w:rsidRDefault="0031008B" w:rsidP="0031008B">
      <w:pPr>
        <w:pStyle w:val="Listenabsatz"/>
        <w:numPr>
          <w:ilvl w:val="0"/>
          <w:numId w:val="23"/>
        </w:numPr>
        <w:autoSpaceDE w:val="0"/>
        <w:autoSpaceDN w:val="0"/>
        <w:adjustRightInd w:val="0"/>
        <w:spacing w:after="0" w:line="240" w:lineRule="auto"/>
        <w:textAlignment w:val="center"/>
        <w:rPr>
          <w:rFonts w:ascii="Titillium Web" w:hAnsi="Titillium Web" w:cs="Titillium Web"/>
          <w:color w:val="000000"/>
          <w:sz w:val="20"/>
          <w:szCs w:val="20"/>
        </w:rPr>
      </w:pPr>
      <w:r w:rsidRPr="0031008B">
        <w:rPr>
          <w:rFonts w:ascii="Titillium Web" w:hAnsi="Titillium Web" w:cs="Titillium Web"/>
          <w:color w:val="000000"/>
          <w:sz w:val="20"/>
          <w:szCs w:val="20"/>
        </w:rPr>
        <w:t>Preise ab Werk</w:t>
      </w:r>
    </w:p>
    <w:p w14:paraId="3AB7746A" w14:textId="77777777" w:rsidR="005E1E76" w:rsidRPr="005F6110" w:rsidRDefault="005E1E76" w:rsidP="00F752DA">
      <w:pPr>
        <w:pStyle w:val="Listenabsatz"/>
        <w:autoSpaceDE w:val="0"/>
        <w:autoSpaceDN w:val="0"/>
        <w:adjustRightInd w:val="0"/>
        <w:spacing w:after="0" w:line="260" w:lineRule="atLeast"/>
        <w:textAlignment w:val="center"/>
        <w:rPr>
          <w:rFonts w:ascii="Titillium Web" w:hAnsi="Titillium Web" w:cs="Titillium Web"/>
          <w:color w:val="000000"/>
          <w:sz w:val="20"/>
          <w:szCs w:val="20"/>
        </w:rPr>
      </w:pPr>
    </w:p>
    <w:tbl>
      <w:tblPr>
        <w:tblStyle w:val="Tabellenraster"/>
        <w:tblW w:w="0" w:type="auto"/>
        <w:tblInd w:w="360" w:type="dxa"/>
        <w:tblLook w:val="04A0" w:firstRow="1" w:lastRow="0" w:firstColumn="1" w:lastColumn="0" w:noHBand="0" w:noVBand="1"/>
      </w:tblPr>
      <w:tblGrid>
        <w:gridCol w:w="5022"/>
        <w:gridCol w:w="1701"/>
        <w:gridCol w:w="1980"/>
      </w:tblGrid>
      <w:tr w:rsidR="00F752DA" w:rsidRPr="005F6110" w14:paraId="165D7BB8" w14:textId="77777777" w:rsidTr="00BA4D23">
        <w:tc>
          <w:tcPr>
            <w:tcW w:w="5022" w:type="dxa"/>
            <w:vAlign w:val="center"/>
          </w:tcPr>
          <w:p w14:paraId="403F21E4" w14:textId="42402B90" w:rsidR="00F752DA" w:rsidRPr="005F6110" w:rsidRDefault="0031008B" w:rsidP="00F752DA">
            <w:pPr>
              <w:rPr>
                <w:rFonts w:ascii="Titillium Web" w:hAnsi="Titillium Web"/>
                <w:sz w:val="20"/>
                <w:szCs w:val="20"/>
              </w:rPr>
            </w:pPr>
            <w:r>
              <w:rPr>
                <w:rFonts w:ascii="Titillium Web" w:hAnsi="Titillium Web" w:cs="Titillium Web"/>
                <w:color w:val="000000"/>
                <w:sz w:val="20"/>
                <w:szCs w:val="20"/>
              </w:rPr>
              <w:t>Mobile Dampfzentrale</w:t>
            </w:r>
            <w:r w:rsidR="00F752DA" w:rsidRPr="005F6110">
              <w:rPr>
                <w:rFonts w:ascii="Titillium Web" w:hAnsi="Titillium Web" w:cs="Titillium Web"/>
                <w:color w:val="000000"/>
                <w:sz w:val="20"/>
                <w:szCs w:val="20"/>
              </w:rPr>
              <w:t xml:space="preserve"> </w:t>
            </w:r>
          </w:p>
        </w:tc>
        <w:tc>
          <w:tcPr>
            <w:tcW w:w="3681" w:type="dxa"/>
            <w:gridSpan w:val="2"/>
            <w:vAlign w:val="center"/>
          </w:tcPr>
          <w:p w14:paraId="21E62D1D" w14:textId="3E04A91A" w:rsidR="00F752DA" w:rsidRPr="005F6110" w:rsidRDefault="00F752DA" w:rsidP="00F752DA">
            <w:pPr>
              <w:autoSpaceDE w:val="0"/>
              <w:autoSpaceDN w:val="0"/>
              <w:adjustRightInd w:val="0"/>
              <w:spacing w:line="288" w:lineRule="auto"/>
              <w:textAlignment w:val="center"/>
              <w:rPr>
                <w:rFonts w:ascii="Titillium Web" w:hAnsi="Titillium Web" w:cs="Titillium Web"/>
                <w:color w:val="000000"/>
                <w:sz w:val="20"/>
                <w:szCs w:val="20"/>
              </w:rPr>
            </w:pPr>
            <w:r w:rsidRPr="005F6110">
              <w:rPr>
                <w:rFonts w:ascii="Titillium Web" w:hAnsi="Titillium Web" w:cs="Titillium Web"/>
                <w:color w:val="000000"/>
                <w:sz w:val="20"/>
                <w:szCs w:val="20"/>
              </w:rPr>
              <w:t xml:space="preserve">RG VK Energie </w:t>
            </w:r>
            <w:r w:rsidR="005E1E76" w:rsidRPr="005F6110">
              <w:rPr>
                <w:rFonts w:ascii="Titillium Web" w:hAnsi="Titillium Web" w:cs="Titillium Web"/>
                <w:color w:val="000000"/>
                <w:sz w:val="20"/>
                <w:szCs w:val="20"/>
              </w:rPr>
              <w:t>groß</w:t>
            </w:r>
          </w:p>
        </w:tc>
      </w:tr>
      <w:tr w:rsidR="00F752DA" w:rsidRPr="005F6110" w14:paraId="7EBC35C6" w14:textId="77777777" w:rsidTr="00BA4D23">
        <w:tc>
          <w:tcPr>
            <w:tcW w:w="5022" w:type="dxa"/>
          </w:tcPr>
          <w:p w14:paraId="35C298E8" w14:textId="36A8A18A" w:rsidR="00F752DA" w:rsidRPr="005F6110" w:rsidRDefault="0031008B" w:rsidP="00F752DA">
            <w:pPr>
              <w:rPr>
                <w:rFonts w:ascii="Titillium Web" w:hAnsi="Titillium Web"/>
                <w:sz w:val="20"/>
                <w:szCs w:val="20"/>
              </w:rPr>
            </w:pPr>
            <w:r>
              <w:rPr>
                <w:rFonts w:ascii="Titillium Web" w:hAnsi="Titillium Web"/>
                <w:sz w:val="20"/>
                <w:szCs w:val="20"/>
              </w:rPr>
              <w:t>Ausstattung</w:t>
            </w:r>
          </w:p>
        </w:tc>
        <w:tc>
          <w:tcPr>
            <w:tcW w:w="1701" w:type="dxa"/>
          </w:tcPr>
          <w:p w14:paraId="0570D66D" w14:textId="216B7C5F" w:rsidR="00F752DA" w:rsidRPr="005F6110" w:rsidRDefault="00F752DA" w:rsidP="00F752DA">
            <w:pPr>
              <w:rPr>
                <w:rFonts w:ascii="Titillium Web" w:hAnsi="Titillium Web"/>
                <w:sz w:val="20"/>
                <w:szCs w:val="20"/>
              </w:rPr>
            </w:pPr>
            <w:r w:rsidRPr="005F6110">
              <w:rPr>
                <w:rFonts w:ascii="Titillium Web" w:hAnsi="Titillium Web"/>
                <w:sz w:val="20"/>
                <w:szCs w:val="20"/>
              </w:rPr>
              <w:t>Artikel-Nr.</w:t>
            </w:r>
          </w:p>
        </w:tc>
        <w:tc>
          <w:tcPr>
            <w:tcW w:w="1980" w:type="dxa"/>
          </w:tcPr>
          <w:p w14:paraId="54DEB46A" w14:textId="00EBE54B" w:rsidR="00F752DA" w:rsidRPr="005F6110" w:rsidRDefault="00F752DA" w:rsidP="00F752DA">
            <w:pPr>
              <w:rPr>
                <w:rFonts w:ascii="Titillium Web" w:hAnsi="Titillium Web"/>
                <w:sz w:val="20"/>
                <w:szCs w:val="20"/>
              </w:rPr>
            </w:pPr>
            <w:r w:rsidRPr="005F6110">
              <w:rPr>
                <w:rFonts w:ascii="Titillium Web" w:hAnsi="Titillium Web"/>
                <w:sz w:val="20"/>
                <w:szCs w:val="20"/>
              </w:rPr>
              <w:t>Preis netto EUR</w:t>
            </w:r>
          </w:p>
        </w:tc>
      </w:tr>
      <w:tr w:rsidR="0031008B" w:rsidRPr="005F6110" w14:paraId="641F27A3" w14:textId="3E15F382" w:rsidTr="00BA4D23">
        <w:tc>
          <w:tcPr>
            <w:tcW w:w="5022" w:type="dxa"/>
            <w:vAlign w:val="center"/>
          </w:tcPr>
          <w:p w14:paraId="3055BC22" w14:textId="7772DC3A" w:rsidR="0031008B" w:rsidRPr="0031008B" w:rsidRDefault="0031008B" w:rsidP="0031008B">
            <w:pPr>
              <w:autoSpaceDE w:val="0"/>
              <w:autoSpaceDN w:val="0"/>
              <w:adjustRightInd w:val="0"/>
              <w:spacing w:line="288" w:lineRule="auto"/>
              <w:textAlignment w:val="center"/>
              <w:rPr>
                <w:rFonts w:ascii="Titillium Web" w:hAnsi="Titillium Web" w:cs="Titillium Web"/>
                <w:color w:val="000000"/>
                <w:sz w:val="20"/>
                <w:szCs w:val="20"/>
              </w:rPr>
            </w:pPr>
            <w:r w:rsidRPr="0031008B">
              <w:rPr>
                <w:rStyle w:val="Taballe-Text"/>
                <w:rFonts w:ascii="Titillium Web" w:hAnsi="Titillium Web" w:cs="Titillium Web"/>
                <w:sz w:val="20"/>
                <w:szCs w:val="20"/>
              </w:rPr>
              <w:t>mobile Dampfzentrale im Kofferanhänger</w:t>
            </w:r>
          </w:p>
        </w:tc>
        <w:tc>
          <w:tcPr>
            <w:tcW w:w="1701" w:type="dxa"/>
            <w:vAlign w:val="center"/>
          </w:tcPr>
          <w:p w14:paraId="2AF9082C" w14:textId="645212BE" w:rsidR="0031008B" w:rsidRPr="0031008B" w:rsidRDefault="0031008B" w:rsidP="0031008B">
            <w:pPr>
              <w:pStyle w:val="EinfAbs"/>
              <w:rPr>
                <w:rFonts w:ascii="Titillium Web" w:hAnsi="Titillium Web" w:cs="Titillium Web"/>
                <w:sz w:val="20"/>
                <w:szCs w:val="20"/>
              </w:rPr>
            </w:pPr>
            <w:r w:rsidRPr="0031008B">
              <w:rPr>
                <w:rFonts w:ascii="Titillium Web" w:hAnsi="Titillium Web" w:cs="Titillium Web"/>
                <w:sz w:val="20"/>
                <w:szCs w:val="20"/>
              </w:rPr>
              <w:t>MD600F</w:t>
            </w:r>
          </w:p>
        </w:tc>
        <w:tc>
          <w:tcPr>
            <w:tcW w:w="1980" w:type="dxa"/>
            <w:vAlign w:val="center"/>
          </w:tcPr>
          <w:p w14:paraId="6B2BA5CE" w14:textId="68DF905F" w:rsidR="0031008B" w:rsidRPr="0031008B" w:rsidRDefault="0031008B" w:rsidP="0031008B">
            <w:pPr>
              <w:autoSpaceDE w:val="0"/>
              <w:autoSpaceDN w:val="0"/>
              <w:adjustRightInd w:val="0"/>
              <w:spacing w:line="288" w:lineRule="auto"/>
              <w:textAlignment w:val="center"/>
              <w:rPr>
                <w:rFonts w:ascii="Titillium Web" w:hAnsi="Titillium Web" w:cs="Titillium Web"/>
                <w:b/>
                <w:bCs/>
                <w:color w:val="000000"/>
                <w:sz w:val="20"/>
                <w:szCs w:val="20"/>
              </w:rPr>
            </w:pPr>
            <w:r w:rsidRPr="0031008B">
              <w:rPr>
                <w:rStyle w:val="Tabelle-Hervorhebungschwarz"/>
                <w:rFonts w:ascii="Titillium Web" w:hAnsi="Titillium Web" w:cs="Titillium Web"/>
                <w:b w:val="0"/>
                <w:bCs w:val="0"/>
                <w:sz w:val="20"/>
                <w:szCs w:val="20"/>
              </w:rPr>
              <w:t>auf Anfrage</w:t>
            </w:r>
          </w:p>
        </w:tc>
      </w:tr>
    </w:tbl>
    <w:p w14:paraId="0B47769B" w14:textId="77777777" w:rsidR="00BA4D23" w:rsidRPr="005E1E76" w:rsidRDefault="00BA4D23" w:rsidP="00BA4D23">
      <w:pPr>
        <w:autoSpaceDE w:val="0"/>
        <w:autoSpaceDN w:val="0"/>
        <w:adjustRightInd w:val="0"/>
        <w:spacing w:after="0" w:line="288" w:lineRule="auto"/>
        <w:textAlignment w:val="center"/>
        <w:rPr>
          <w:rFonts w:ascii="Titillium Web" w:hAnsi="Titillium Web" w:cs="Titillium Web"/>
          <w:i/>
          <w:iCs/>
          <w:color w:val="000000"/>
          <w:sz w:val="20"/>
          <w:szCs w:val="20"/>
        </w:rPr>
      </w:pPr>
    </w:p>
    <w:p w14:paraId="4058E86E" w14:textId="77777777" w:rsidR="007367D9" w:rsidRPr="004A4EEA" w:rsidRDefault="007367D9" w:rsidP="008C06DB">
      <w:pPr>
        <w:spacing w:line="240" w:lineRule="auto"/>
        <w:rPr>
          <w:rFonts w:ascii="Titillium Web" w:hAnsi="Titillium Web"/>
          <w:sz w:val="20"/>
          <w:szCs w:val="20"/>
        </w:rPr>
      </w:pPr>
    </w:p>
    <w:sectPr w:rsidR="007367D9" w:rsidRPr="004A4EEA" w:rsidSect="00864D2E">
      <w:headerReference w:type="default" r:id="rId8"/>
      <w:pgSz w:w="11906" w:h="16838"/>
      <w:pgMar w:top="1843" w:right="1416"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2D38" w14:textId="77777777" w:rsidR="007612CA" w:rsidRDefault="007612CA" w:rsidP="007612CA">
      <w:pPr>
        <w:spacing w:after="0" w:line="240" w:lineRule="auto"/>
      </w:pPr>
      <w:r>
        <w:separator/>
      </w:r>
    </w:p>
  </w:endnote>
  <w:endnote w:type="continuationSeparator" w:id="0">
    <w:p w14:paraId="354C7009" w14:textId="77777777" w:rsidR="007612CA" w:rsidRDefault="007612CA" w:rsidP="0076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Dax Offc Pro">
    <w:panose1 w:val="020B0504030101020102"/>
    <w:charset w:val="00"/>
    <w:family w:val="swiss"/>
    <w:pitch w:val="variable"/>
    <w:sig w:usb0="A00002BF" w:usb1="4000A4FB"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 w:name="Dax Offc Pro (TT)">
    <w:altName w:val="Dax Offc Pro"/>
    <w:panose1 w:val="00000000000000000000"/>
    <w:charset w:val="00"/>
    <w:family w:val="auto"/>
    <w:notTrueType/>
    <w:pitch w:val="default"/>
    <w:sig w:usb0="00000003" w:usb1="00000000" w:usb2="00000000" w:usb3="00000000" w:csb0="00000001" w:csb1="00000000"/>
  </w:font>
  <w:font w:name="Dax Offc Pro (TT) Bold">
    <w:altName w:val="Dax Offc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C03B" w14:textId="77777777" w:rsidR="007612CA" w:rsidRDefault="007612CA" w:rsidP="007612CA">
      <w:pPr>
        <w:spacing w:after="0" w:line="240" w:lineRule="auto"/>
      </w:pPr>
      <w:r>
        <w:separator/>
      </w:r>
    </w:p>
  </w:footnote>
  <w:footnote w:type="continuationSeparator" w:id="0">
    <w:p w14:paraId="5736900C" w14:textId="77777777" w:rsidR="007612CA" w:rsidRDefault="007612CA" w:rsidP="0076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6C4A" w14:textId="074B3F25" w:rsidR="007612CA" w:rsidRDefault="009D2A9B" w:rsidP="007612CA">
    <w:pPr>
      <w:pStyle w:val="Kopfzeile"/>
      <w:ind w:hanging="1417"/>
    </w:pPr>
    <w:r>
      <w:rPr>
        <w:noProof/>
      </w:rPr>
      <w:drawing>
        <wp:inline distT="0" distB="0" distL="0" distR="0" wp14:anchorId="1BE228E5" wp14:editId="4A5D374F">
          <wp:extent cx="7553325" cy="8981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22" cy="902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07C"/>
    <w:multiLevelType w:val="hybridMultilevel"/>
    <w:tmpl w:val="68AAB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E7E1E"/>
    <w:multiLevelType w:val="hybridMultilevel"/>
    <w:tmpl w:val="4D8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FD2D75"/>
    <w:multiLevelType w:val="hybridMultilevel"/>
    <w:tmpl w:val="413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908D1"/>
    <w:multiLevelType w:val="hybridMultilevel"/>
    <w:tmpl w:val="E79CCE5C"/>
    <w:lvl w:ilvl="0" w:tplc="B1E64426">
      <w:numFmt w:val="bullet"/>
      <w:lvlText w:val="•"/>
      <w:lvlJc w:val="left"/>
      <w:pPr>
        <w:ind w:left="1080" w:hanging="360"/>
      </w:pPr>
      <w:rPr>
        <w:rFonts w:ascii="Titillium Web" w:eastAsiaTheme="minorHAnsi" w:hAnsi="Titillium Web" w:cs="Titillium Web"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9A33B31"/>
    <w:multiLevelType w:val="hybridMultilevel"/>
    <w:tmpl w:val="0088C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F4E6F"/>
    <w:multiLevelType w:val="hybridMultilevel"/>
    <w:tmpl w:val="674C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2C5CD0"/>
    <w:multiLevelType w:val="hybridMultilevel"/>
    <w:tmpl w:val="B120A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E824C1"/>
    <w:multiLevelType w:val="hybridMultilevel"/>
    <w:tmpl w:val="54A6C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C359AE"/>
    <w:multiLevelType w:val="hybridMultilevel"/>
    <w:tmpl w:val="6F52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44453"/>
    <w:multiLevelType w:val="hybridMultilevel"/>
    <w:tmpl w:val="D2605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D8C21BD"/>
    <w:multiLevelType w:val="hybridMultilevel"/>
    <w:tmpl w:val="20164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C75E4A"/>
    <w:multiLevelType w:val="hybridMultilevel"/>
    <w:tmpl w:val="2DE4E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2A2DFC"/>
    <w:multiLevelType w:val="hybridMultilevel"/>
    <w:tmpl w:val="BA2CC91A"/>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862C08"/>
    <w:multiLevelType w:val="hybridMultilevel"/>
    <w:tmpl w:val="EF821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04561C"/>
    <w:multiLevelType w:val="hybridMultilevel"/>
    <w:tmpl w:val="F11412E8"/>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C77C6E"/>
    <w:multiLevelType w:val="hybridMultilevel"/>
    <w:tmpl w:val="C28C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652F5F"/>
    <w:multiLevelType w:val="hybridMultilevel"/>
    <w:tmpl w:val="184EB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3E7E0C"/>
    <w:multiLevelType w:val="hybridMultilevel"/>
    <w:tmpl w:val="F1D87D30"/>
    <w:lvl w:ilvl="0" w:tplc="4F92F5D8">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823C20"/>
    <w:multiLevelType w:val="hybridMultilevel"/>
    <w:tmpl w:val="D07A754E"/>
    <w:lvl w:ilvl="0" w:tplc="B1E64426">
      <w:numFmt w:val="bullet"/>
      <w:lvlText w:val="•"/>
      <w:lvlJc w:val="left"/>
      <w:pPr>
        <w:ind w:left="720" w:hanging="360"/>
      </w:pPr>
      <w:rPr>
        <w:rFonts w:ascii="Titillium Web" w:eastAsiaTheme="minorHAnsi" w:hAnsi="Titillium Web" w:cs="Titillium Web"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C061D6"/>
    <w:multiLevelType w:val="hybridMultilevel"/>
    <w:tmpl w:val="44DE5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861182"/>
    <w:multiLevelType w:val="hybridMultilevel"/>
    <w:tmpl w:val="CF767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935348"/>
    <w:multiLevelType w:val="hybridMultilevel"/>
    <w:tmpl w:val="8FEAA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A0200E"/>
    <w:multiLevelType w:val="hybridMultilevel"/>
    <w:tmpl w:val="EBEC4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7"/>
  </w:num>
  <w:num w:numId="4">
    <w:abstractNumId w:val="13"/>
  </w:num>
  <w:num w:numId="5">
    <w:abstractNumId w:val="22"/>
  </w:num>
  <w:num w:numId="6">
    <w:abstractNumId w:val="6"/>
  </w:num>
  <w:num w:numId="7">
    <w:abstractNumId w:val="16"/>
  </w:num>
  <w:num w:numId="8">
    <w:abstractNumId w:val="5"/>
  </w:num>
  <w:num w:numId="9">
    <w:abstractNumId w:val="15"/>
  </w:num>
  <w:num w:numId="10">
    <w:abstractNumId w:val="12"/>
  </w:num>
  <w:num w:numId="11">
    <w:abstractNumId w:val="3"/>
  </w:num>
  <w:num w:numId="12">
    <w:abstractNumId w:val="9"/>
  </w:num>
  <w:num w:numId="13">
    <w:abstractNumId w:val="10"/>
  </w:num>
  <w:num w:numId="14">
    <w:abstractNumId w:val="20"/>
  </w:num>
  <w:num w:numId="15">
    <w:abstractNumId w:val="14"/>
  </w:num>
  <w:num w:numId="16">
    <w:abstractNumId w:val="18"/>
  </w:num>
  <w:num w:numId="17">
    <w:abstractNumId w:val="4"/>
  </w:num>
  <w:num w:numId="18">
    <w:abstractNumId w:val="21"/>
  </w:num>
  <w:num w:numId="19">
    <w:abstractNumId w:val="19"/>
  </w:num>
  <w:num w:numId="20">
    <w:abstractNumId w:val="8"/>
  </w:num>
  <w:num w:numId="21">
    <w:abstractNumId w:val="11"/>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A"/>
    <w:rsid w:val="00001FEB"/>
    <w:rsid w:val="00017326"/>
    <w:rsid w:val="0007570C"/>
    <w:rsid w:val="000B7707"/>
    <w:rsid w:val="00114CB7"/>
    <w:rsid w:val="0012033A"/>
    <w:rsid w:val="00196C33"/>
    <w:rsid w:val="001A7B71"/>
    <w:rsid w:val="00247AB1"/>
    <w:rsid w:val="0031008B"/>
    <w:rsid w:val="003702CA"/>
    <w:rsid w:val="003A6D82"/>
    <w:rsid w:val="003C1AD4"/>
    <w:rsid w:val="004A4EEA"/>
    <w:rsid w:val="005C0576"/>
    <w:rsid w:val="005E1E76"/>
    <w:rsid w:val="005F3AC8"/>
    <w:rsid w:val="005F6110"/>
    <w:rsid w:val="007367D9"/>
    <w:rsid w:val="007612CA"/>
    <w:rsid w:val="00864D2E"/>
    <w:rsid w:val="00896379"/>
    <w:rsid w:val="008C06DB"/>
    <w:rsid w:val="00914D83"/>
    <w:rsid w:val="009D2A9B"/>
    <w:rsid w:val="00B05BDE"/>
    <w:rsid w:val="00B165C7"/>
    <w:rsid w:val="00B7246D"/>
    <w:rsid w:val="00BA4D23"/>
    <w:rsid w:val="00F75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F282"/>
  <w15:chartTrackingRefBased/>
  <w15:docId w15:val="{40E691FB-87F7-4FDB-8772-46E79B3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1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2CA"/>
  </w:style>
  <w:style w:type="paragraph" w:styleId="Fuzeile">
    <w:name w:val="footer"/>
    <w:basedOn w:val="Standard"/>
    <w:link w:val="FuzeileZchn"/>
    <w:uiPriority w:val="99"/>
    <w:unhideWhenUsed/>
    <w:rsid w:val="00761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2CA"/>
  </w:style>
  <w:style w:type="paragraph" w:customStyle="1" w:styleId="Fliestext-Eigenschaften">
    <w:name w:val="Fliestext - Eigenschaften"/>
    <w:basedOn w:val="Standard"/>
    <w:uiPriority w:val="99"/>
    <w:rsid w:val="009D2A9B"/>
    <w:pPr>
      <w:autoSpaceDE w:val="0"/>
      <w:autoSpaceDN w:val="0"/>
      <w:adjustRightInd w:val="0"/>
      <w:spacing w:after="0" w:line="260" w:lineRule="atLeast"/>
      <w:textAlignment w:val="center"/>
    </w:pPr>
    <w:rPr>
      <w:rFonts w:ascii="Dax Offc Pro" w:hAnsi="Dax Offc Pro" w:cs="Dax Offc Pro"/>
      <w:color w:val="000000"/>
      <w:sz w:val="18"/>
      <w:szCs w:val="18"/>
    </w:rPr>
  </w:style>
  <w:style w:type="paragraph" w:styleId="Listenabsatz">
    <w:name w:val="List Paragraph"/>
    <w:basedOn w:val="Standard"/>
    <w:uiPriority w:val="34"/>
    <w:qFormat/>
    <w:rsid w:val="008C06DB"/>
    <w:pPr>
      <w:ind w:left="720"/>
      <w:contextualSpacing/>
    </w:pPr>
  </w:style>
  <w:style w:type="table" w:styleId="Tabellenraster">
    <w:name w:val="Table Grid"/>
    <w:basedOn w:val="NormaleTabelle"/>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173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abelle-TextgmitAufzhlung">
    <w:name w:val="Tabelle - Text gmit Aufzählung"/>
    <w:basedOn w:val="Standard"/>
    <w:uiPriority w:val="99"/>
    <w:rsid w:val="00017326"/>
    <w:pPr>
      <w:autoSpaceDE w:val="0"/>
      <w:autoSpaceDN w:val="0"/>
      <w:adjustRightInd w:val="0"/>
      <w:spacing w:after="0" w:line="260" w:lineRule="atLeast"/>
      <w:textAlignment w:val="center"/>
    </w:pPr>
    <w:rPr>
      <w:rFonts w:ascii="Dax Offc Pro (TT)" w:hAnsi="Dax Offc Pro (TT)" w:cs="Dax Offc Pro (TT)"/>
      <w:color w:val="000000"/>
      <w:sz w:val="18"/>
      <w:szCs w:val="18"/>
    </w:rPr>
  </w:style>
  <w:style w:type="character" w:customStyle="1" w:styleId="Taballe-Text">
    <w:name w:val="Taballe - Text"/>
    <w:uiPriority w:val="99"/>
    <w:rsid w:val="00017326"/>
    <w:rPr>
      <w:rFonts w:ascii="Dax Offc Pro (TT)" w:hAnsi="Dax Offc Pro (TT)" w:cs="Dax Offc Pro (TT)"/>
      <w:sz w:val="18"/>
      <w:szCs w:val="18"/>
    </w:rPr>
  </w:style>
  <w:style w:type="character" w:customStyle="1" w:styleId="Tabelle-Hervorhebungschwarz">
    <w:name w:val="Tabelle - Hervorhebung schwarz"/>
    <w:uiPriority w:val="99"/>
    <w:rsid w:val="00114CB7"/>
    <w:rPr>
      <w:rFonts w:ascii="Dax Offc Pro (TT) Bold" w:hAnsi="Dax Offc Pro (TT) Bold" w:cs="Dax Offc Pro (TT) Bold"/>
      <w:b/>
      <w:bCs/>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8672-25AD-43CB-9EB4-69640B8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Mayer</dc:creator>
  <cp:keywords/>
  <dc:description/>
  <cp:lastModifiedBy>Anna-Lena Radloff</cp:lastModifiedBy>
  <cp:revision>2</cp:revision>
  <dcterms:created xsi:type="dcterms:W3CDTF">2021-02-24T08:36:00Z</dcterms:created>
  <dcterms:modified xsi:type="dcterms:W3CDTF">2021-02-24T08:36:00Z</dcterms:modified>
</cp:coreProperties>
</file>