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00FB16AD" w:rsidR="008C06DB" w:rsidRPr="00DD06C0" w:rsidRDefault="00D47288" w:rsidP="008165DD">
      <w:pPr>
        <w:spacing w:line="240" w:lineRule="auto"/>
        <w:rPr>
          <w:rFonts w:ascii="Titillium Web" w:hAnsi="Titillium Web"/>
          <w:b/>
          <w:bCs/>
          <w:sz w:val="20"/>
          <w:szCs w:val="20"/>
        </w:rPr>
      </w:pPr>
      <w:bookmarkStart w:id="0" w:name="_Hlk64990031"/>
      <w:bookmarkStart w:id="1" w:name="_Hlk64973301"/>
      <w:bookmarkStart w:id="2" w:name="_Hlk64978827"/>
      <w:bookmarkStart w:id="3" w:name="_Hlk64990472"/>
      <w:bookmarkStart w:id="4" w:name="_Hlk65045959"/>
      <w:bookmarkStart w:id="5" w:name="_Hlk65051342"/>
      <w:r w:rsidRPr="00DD06C0">
        <w:rPr>
          <w:rFonts w:ascii="Titillium Web" w:hAnsi="Titillium Web"/>
          <w:b/>
          <w:bCs/>
          <w:sz w:val="20"/>
          <w:szCs w:val="20"/>
        </w:rPr>
        <w:t>Mobiheat M</w:t>
      </w:r>
      <w:r w:rsidR="00B57BAE">
        <w:rPr>
          <w:rFonts w:ascii="Titillium Web" w:hAnsi="Titillium Web"/>
          <w:b/>
          <w:bCs/>
          <w:sz w:val="20"/>
          <w:szCs w:val="20"/>
        </w:rPr>
        <w:t>D600F | 600 kg/h mobile Dampfanlage</w:t>
      </w:r>
    </w:p>
    <w:bookmarkEnd w:id="1"/>
    <w:bookmarkEnd w:id="2"/>
    <w:bookmarkEnd w:id="3"/>
    <w:bookmarkEnd w:id="4"/>
    <w:p w14:paraId="459176F6" w14:textId="7BF70584" w:rsidR="00B57BAE" w:rsidRPr="00B57BAE" w:rsidRDefault="00B57BAE" w:rsidP="00B57BAE">
      <w:pPr>
        <w:autoSpaceDE w:val="0"/>
        <w:autoSpaceDN w:val="0"/>
        <w:adjustRightInd w:val="0"/>
        <w:spacing w:after="0" w:line="260" w:lineRule="atLeast"/>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Die mobile Dampfzentrale MD600F ist eine fahrbare und sofort betriebsbereite Dampfanlage auf einem Tandemanhänger für den mobilen Einsatz und autarken Betrieb.</w:t>
      </w:r>
    </w:p>
    <w:p w14:paraId="788D8B3D" w14:textId="77777777" w:rsidR="00B57BAE" w:rsidRPr="00B57BAE" w:rsidRDefault="00B57BAE" w:rsidP="00B57BAE">
      <w:pPr>
        <w:autoSpaceDE w:val="0"/>
        <w:autoSpaceDN w:val="0"/>
        <w:adjustRightInd w:val="0"/>
        <w:spacing w:after="0" w:line="260" w:lineRule="atLeast"/>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 xml:space="preserve">Die Anlage ist ausgestattet mit Wasserservicemodul, Wasseraufbereitung, Härteüberwachung, Automatikstarteinrichtung für </w:t>
      </w:r>
      <w:proofErr w:type="spellStart"/>
      <w:r w:rsidRPr="00B57BAE">
        <w:rPr>
          <w:rFonts w:ascii="Titillium Web" w:hAnsi="Titillium Web" w:cs="Titillium Web"/>
          <w:color w:val="000000"/>
          <w:sz w:val="20"/>
          <w:szCs w:val="20"/>
        </w:rPr>
        <w:t>autom</w:t>
      </w:r>
      <w:proofErr w:type="spellEnd"/>
      <w:r w:rsidRPr="00B57BAE">
        <w:rPr>
          <w:rFonts w:ascii="Titillium Web" w:hAnsi="Titillium Web" w:cs="Titillium Web"/>
          <w:color w:val="000000"/>
          <w:sz w:val="20"/>
          <w:szCs w:val="20"/>
        </w:rPr>
        <w:t>. Betrieb und Außerbetriebnahme, Wasserprobekühleinrichtung und automatischer Chemikaliendosierung.</w:t>
      </w:r>
    </w:p>
    <w:p w14:paraId="5E73572F" w14:textId="4E9B829A" w:rsidR="00B57BAE" w:rsidRDefault="00B57BAE" w:rsidP="00B57BAE">
      <w:pPr>
        <w:autoSpaceDE w:val="0"/>
        <w:autoSpaceDN w:val="0"/>
        <w:adjustRightInd w:val="0"/>
        <w:spacing w:after="0" w:line="240" w:lineRule="auto"/>
        <w:textAlignment w:val="center"/>
        <w:rPr>
          <w:rFonts w:ascii="Titillium Web" w:hAnsi="Titillium Web" w:cs="Titillium Web"/>
          <w:color w:val="000000"/>
          <w:sz w:val="20"/>
          <w:szCs w:val="20"/>
        </w:rPr>
      </w:pPr>
      <w:r w:rsidRPr="00B57BAE">
        <w:rPr>
          <w:rFonts w:ascii="Titillium Web" w:hAnsi="Titillium Web" w:cs="Titillium Web"/>
          <w:color w:val="000000"/>
          <w:sz w:val="20"/>
          <w:szCs w:val="20"/>
        </w:rPr>
        <w:t>Unsere mobilen Dampfzentralen sind alle nach neuestem Stand der Technik entwickelt und mit Kessel und Komponenten von namhaften Herstellern ausgestattet. So garantieren wir für einen zuverlässigen und umweltverträglichen Betrieb. Unsere Anlagen werden ständigen Kontrollen und regelmäßigen Wartungsarbeiten unterzogen.</w:t>
      </w:r>
    </w:p>
    <w:bookmarkEnd w:id="5"/>
    <w:p w14:paraId="3EEE2C48" w14:textId="77777777" w:rsidR="00B57BAE" w:rsidRPr="00DD06C0" w:rsidRDefault="00B57BAE" w:rsidP="00B57BAE">
      <w:pPr>
        <w:autoSpaceDE w:val="0"/>
        <w:autoSpaceDN w:val="0"/>
        <w:adjustRightInd w:val="0"/>
        <w:spacing w:after="0" w:line="240" w:lineRule="auto"/>
        <w:textAlignment w:val="center"/>
        <w:rPr>
          <w:rFonts w:ascii="Titillium Web" w:hAnsi="Titillium Web" w:cs="Titillium Web"/>
          <w:color w:val="000000"/>
          <w:sz w:val="20"/>
          <w:szCs w:val="20"/>
        </w:rPr>
      </w:pPr>
    </w:p>
    <w:p w14:paraId="39E05558" w14:textId="33220809" w:rsidR="00DB6618" w:rsidRPr="00DD06C0" w:rsidRDefault="00864D2E" w:rsidP="008165DD">
      <w:pPr>
        <w:autoSpaceDE w:val="0"/>
        <w:autoSpaceDN w:val="0"/>
        <w:adjustRightInd w:val="0"/>
        <w:spacing w:after="0" w:line="240" w:lineRule="auto"/>
        <w:textAlignment w:val="center"/>
        <w:rPr>
          <w:rFonts w:ascii="Titillium Web" w:hAnsi="Titillium Web" w:cs="Titillium Web"/>
          <w:color w:val="000000"/>
          <w:sz w:val="20"/>
          <w:szCs w:val="20"/>
        </w:rPr>
      </w:pPr>
      <w:r w:rsidRPr="00DD06C0">
        <w:rPr>
          <w:rFonts w:ascii="Titillium Web" w:hAnsi="Titillium Web" w:cs="Titillium Web"/>
          <w:color w:val="000000"/>
          <w:sz w:val="20"/>
          <w:szCs w:val="20"/>
        </w:rPr>
        <w:t>Mietkonditionen</w:t>
      </w:r>
    </w:p>
    <w:bookmarkEnd w:id="0"/>
    <w:p w14:paraId="40A2A932" w14:textId="77777777" w:rsidR="003A3287" w:rsidRPr="003A3287" w:rsidRDefault="003A3287" w:rsidP="003A3287">
      <w:pPr>
        <w:pStyle w:val="Listenabsatz"/>
        <w:numPr>
          <w:ilvl w:val="0"/>
          <w:numId w:val="29"/>
        </w:numPr>
        <w:autoSpaceDE w:val="0"/>
        <w:autoSpaceDN w:val="0"/>
        <w:adjustRightInd w:val="0"/>
        <w:spacing w:after="0" w:line="260" w:lineRule="atLeast"/>
        <w:textAlignment w:val="center"/>
        <w:rPr>
          <w:rFonts w:ascii="Titillium Web" w:hAnsi="Titillium Web" w:cs="Titillium Web"/>
          <w:color w:val="000000"/>
          <w:sz w:val="20"/>
          <w:szCs w:val="20"/>
        </w:rPr>
      </w:pPr>
      <w:r w:rsidRPr="003A3287">
        <w:rPr>
          <w:rFonts w:ascii="Titillium Web" w:hAnsi="Titillium Web" w:cs="Titillium Web"/>
          <w:color w:val="000000"/>
          <w:sz w:val="20"/>
          <w:szCs w:val="20"/>
        </w:rPr>
        <w:t>Anlieferung und Abholung</w:t>
      </w:r>
    </w:p>
    <w:p w14:paraId="3B41B24A" w14:textId="0817243C" w:rsidR="003A3287" w:rsidRPr="003A3287" w:rsidRDefault="003A3287" w:rsidP="003A3287">
      <w:pPr>
        <w:pStyle w:val="Listenabsatz"/>
        <w:numPr>
          <w:ilvl w:val="0"/>
          <w:numId w:val="29"/>
        </w:numPr>
        <w:autoSpaceDE w:val="0"/>
        <w:autoSpaceDN w:val="0"/>
        <w:adjustRightInd w:val="0"/>
        <w:spacing w:after="0" w:line="260" w:lineRule="atLeast"/>
        <w:textAlignment w:val="center"/>
        <w:rPr>
          <w:rFonts w:ascii="Titillium Web" w:hAnsi="Titillium Web" w:cs="Titillium Web"/>
          <w:color w:val="000000"/>
          <w:sz w:val="20"/>
          <w:szCs w:val="20"/>
        </w:rPr>
      </w:pPr>
      <w:r w:rsidRPr="003A3287">
        <w:rPr>
          <w:rFonts w:ascii="Titillium Web" w:hAnsi="Titillium Web" w:cs="Titillium Web"/>
          <w:color w:val="000000"/>
          <w:sz w:val="20"/>
          <w:szCs w:val="20"/>
        </w:rPr>
        <w:t>Inkl. Stromkabel 20 m</w:t>
      </w:r>
    </w:p>
    <w:p w14:paraId="62619387" w14:textId="2A9DFEA9" w:rsidR="003A3287" w:rsidRPr="003A3287" w:rsidRDefault="003A3287" w:rsidP="003A3287">
      <w:pPr>
        <w:pStyle w:val="Listenabsatz"/>
        <w:numPr>
          <w:ilvl w:val="0"/>
          <w:numId w:val="29"/>
        </w:numPr>
        <w:autoSpaceDE w:val="0"/>
        <w:autoSpaceDN w:val="0"/>
        <w:adjustRightInd w:val="0"/>
        <w:spacing w:after="0" w:line="260" w:lineRule="atLeast"/>
        <w:textAlignment w:val="center"/>
        <w:rPr>
          <w:rFonts w:ascii="Titillium Web" w:hAnsi="Titillium Web" w:cs="Titillium Web"/>
          <w:color w:val="000000"/>
          <w:sz w:val="20"/>
          <w:szCs w:val="20"/>
        </w:rPr>
      </w:pPr>
      <w:r w:rsidRPr="003A3287">
        <w:rPr>
          <w:rFonts w:ascii="Titillium Web" w:hAnsi="Titillium Web" w:cs="Titillium Web"/>
          <w:color w:val="000000"/>
          <w:sz w:val="20"/>
          <w:szCs w:val="20"/>
        </w:rPr>
        <w:t>Taggenaue Abrechnung nach Grundmiete</w:t>
      </w:r>
    </w:p>
    <w:p w14:paraId="412B0918" w14:textId="497BD96F" w:rsidR="003A3287" w:rsidRPr="003A3287" w:rsidRDefault="003A3287" w:rsidP="003A3287">
      <w:pPr>
        <w:pStyle w:val="Listenabsatz"/>
        <w:numPr>
          <w:ilvl w:val="0"/>
          <w:numId w:val="29"/>
        </w:numPr>
        <w:spacing w:line="240" w:lineRule="auto"/>
        <w:rPr>
          <w:rFonts w:ascii="Titillium Web" w:hAnsi="Titillium Web"/>
          <w:sz w:val="20"/>
          <w:szCs w:val="20"/>
        </w:rPr>
      </w:pPr>
      <w:r w:rsidRPr="003A3287">
        <w:rPr>
          <w:rFonts w:ascii="Titillium Web" w:hAnsi="Titillium Web" w:cs="Titillium Web"/>
          <w:color w:val="000000"/>
          <w:sz w:val="20"/>
          <w:szCs w:val="20"/>
        </w:rPr>
        <w:t xml:space="preserve">Anliefertag und Abmeldetag werden als </w:t>
      </w:r>
      <w:proofErr w:type="spellStart"/>
      <w:r w:rsidRPr="003A3287">
        <w:rPr>
          <w:rFonts w:ascii="Titillium Web" w:hAnsi="Titillium Web" w:cs="Titillium Web"/>
          <w:color w:val="000000"/>
          <w:sz w:val="20"/>
          <w:szCs w:val="20"/>
        </w:rPr>
        <w:t>Miettag</w:t>
      </w:r>
      <w:proofErr w:type="spellEnd"/>
      <w:r w:rsidRPr="003A3287">
        <w:rPr>
          <w:rFonts w:ascii="Titillium Web" w:hAnsi="Titillium Web" w:cs="Titillium Web"/>
          <w:color w:val="000000"/>
          <w:sz w:val="20"/>
          <w:szCs w:val="20"/>
        </w:rPr>
        <w:t xml:space="preserve"> berechnet!</w:t>
      </w:r>
    </w:p>
    <w:p w14:paraId="2F51463A" w14:textId="77777777" w:rsidR="003A3287" w:rsidRPr="003A3287" w:rsidRDefault="003A3287" w:rsidP="003A3287">
      <w:pPr>
        <w:pStyle w:val="Listenabsatz"/>
        <w:spacing w:line="240" w:lineRule="auto"/>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4912"/>
        <w:gridCol w:w="1837"/>
        <w:gridCol w:w="1954"/>
      </w:tblGrid>
      <w:tr w:rsidR="00196C33" w:rsidRPr="00DD06C0" w14:paraId="165D7BB8" w14:textId="77777777" w:rsidTr="00125754">
        <w:tc>
          <w:tcPr>
            <w:tcW w:w="4912" w:type="dxa"/>
            <w:vAlign w:val="center"/>
          </w:tcPr>
          <w:p w14:paraId="403F21E4" w14:textId="62C4A329" w:rsidR="00196C33" w:rsidRPr="00DD06C0" w:rsidRDefault="00B57BAE" w:rsidP="00D610BC">
            <w:pPr>
              <w:autoSpaceDE w:val="0"/>
              <w:autoSpaceDN w:val="0"/>
              <w:adjustRightInd w:val="0"/>
              <w:spacing w:line="288" w:lineRule="auto"/>
              <w:textAlignment w:val="center"/>
              <w:rPr>
                <w:rFonts w:ascii="Titillium Web" w:hAnsi="Titillium Web" w:cs="Titillium Web"/>
                <w:color w:val="000000"/>
                <w:sz w:val="20"/>
                <w:szCs w:val="20"/>
              </w:rPr>
            </w:pPr>
            <w:r>
              <w:rPr>
                <w:rFonts w:ascii="Titillium Web" w:hAnsi="Titillium Web" w:cs="Titillium Web"/>
                <w:color w:val="000000"/>
                <w:sz w:val="20"/>
                <w:szCs w:val="20"/>
              </w:rPr>
              <w:t>Mobile Dampfzentrale</w:t>
            </w:r>
            <w:r w:rsidR="00F44EC0" w:rsidRPr="00DD06C0">
              <w:rPr>
                <w:rFonts w:ascii="Titillium Web" w:hAnsi="Titillium Web" w:cs="Titillium Web"/>
                <w:color w:val="000000"/>
                <w:sz w:val="20"/>
                <w:szCs w:val="20"/>
              </w:rPr>
              <w:t xml:space="preserve"> </w:t>
            </w:r>
          </w:p>
        </w:tc>
        <w:tc>
          <w:tcPr>
            <w:tcW w:w="3791" w:type="dxa"/>
            <w:gridSpan w:val="2"/>
            <w:vAlign w:val="center"/>
          </w:tcPr>
          <w:p w14:paraId="21E62D1D" w14:textId="1E389F9C" w:rsidR="00196C33" w:rsidRPr="00DD06C0"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D06C0">
              <w:rPr>
                <w:rFonts w:ascii="Titillium Web" w:hAnsi="Titillium Web" w:cs="Titillium Web"/>
                <w:color w:val="000000"/>
                <w:sz w:val="20"/>
                <w:szCs w:val="20"/>
              </w:rPr>
              <w:t xml:space="preserve">RG DL </w:t>
            </w:r>
            <w:r w:rsidR="00B57BAE">
              <w:rPr>
                <w:rFonts w:ascii="Titillium Web" w:hAnsi="Titillium Web" w:cs="Titillium Web"/>
                <w:color w:val="000000"/>
                <w:sz w:val="20"/>
                <w:szCs w:val="20"/>
              </w:rPr>
              <w:t>Groß 360 kW bis 2.500 kW</w:t>
            </w:r>
          </w:p>
        </w:tc>
      </w:tr>
      <w:tr w:rsidR="008C06DB" w:rsidRPr="00DD06C0" w14:paraId="7EBC35C6" w14:textId="77777777" w:rsidTr="00125754">
        <w:tc>
          <w:tcPr>
            <w:tcW w:w="4912" w:type="dxa"/>
          </w:tcPr>
          <w:p w14:paraId="35C298E8" w14:textId="56668C7E" w:rsidR="008C06DB" w:rsidRPr="00DD06C0" w:rsidRDefault="00017326" w:rsidP="008D1F91">
            <w:pPr>
              <w:rPr>
                <w:rFonts w:ascii="Titillium Web" w:hAnsi="Titillium Web"/>
                <w:sz w:val="20"/>
                <w:szCs w:val="20"/>
              </w:rPr>
            </w:pPr>
            <w:r w:rsidRPr="00DD06C0">
              <w:rPr>
                <w:rFonts w:ascii="Titillium Web" w:hAnsi="Titillium Web"/>
                <w:sz w:val="20"/>
                <w:szCs w:val="20"/>
              </w:rPr>
              <w:t>Mietkonditionen</w:t>
            </w:r>
          </w:p>
        </w:tc>
        <w:tc>
          <w:tcPr>
            <w:tcW w:w="1837" w:type="dxa"/>
          </w:tcPr>
          <w:p w14:paraId="0570D66D" w14:textId="216B7C5F" w:rsidR="008C06DB" w:rsidRPr="00DD06C0" w:rsidRDefault="007367D9" w:rsidP="008D1F91">
            <w:pPr>
              <w:rPr>
                <w:rFonts w:ascii="Titillium Web" w:hAnsi="Titillium Web"/>
                <w:sz w:val="20"/>
                <w:szCs w:val="20"/>
              </w:rPr>
            </w:pPr>
            <w:r w:rsidRPr="00DD06C0">
              <w:rPr>
                <w:rFonts w:ascii="Titillium Web" w:hAnsi="Titillium Web"/>
                <w:sz w:val="20"/>
                <w:szCs w:val="20"/>
              </w:rPr>
              <w:t>Artikel-Nr.</w:t>
            </w:r>
          </w:p>
        </w:tc>
        <w:tc>
          <w:tcPr>
            <w:tcW w:w="1954" w:type="dxa"/>
          </w:tcPr>
          <w:p w14:paraId="54DEB46A" w14:textId="00EBE54B" w:rsidR="008C06DB" w:rsidRPr="00DD06C0" w:rsidRDefault="007367D9" w:rsidP="008D1F91">
            <w:pPr>
              <w:rPr>
                <w:rFonts w:ascii="Titillium Web" w:hAnsi="Titillium Web"/>
                <w:sz w:val="20"/>
                <w:szCs w:val="20"/>
              </w:rPr>
            </w:pPr>
            <w:r w:rsidRPr="00DD06C0">
              <w:rPr>
                <w:rFonts w:ascii="Titillium Web" w:hAnsi="Titillium Web"/>
                <w:sz w:val="20"/>
                <w:szCs w:val="20"/>
              </w:rPr>
              <w:t>Preis netto EUR</w:t>
            </w:r>
          </w:p>
        </w:tc>
      </w:tr>
      <w:tr w:rsidR="00B57BAE" w:rsidRPr="00DD06C0" w14:paraId="641F27A3" w14:textId="3E15F382" w:rsidTr="00125754">
        <w:tc>
          <w:tcPr>
            <w:tcW w:w="4912" w:type="dxa"/>
            <w:vAlign w:val="center"/>
          </w:tcPr>
          <w:p w14:paraId="3055BC22" w14:textId="535E0112" w:rsidR="00B57BAE" w:rsidRPr="00B57BAE" w:rsidRDefault="00B57BAE" w:rsidP="00B57BAE">
            <w:pPr>
              <w:pStyle w:val="EinfAbs"/>
              <w:rPr>
                <w:rFonts w:ascii="Titillium Web" w:hAnsi="Titillium Web" w:cs="Titillium Web"/>
                <w:sz w:val="20"/>
                <w:szCs w:val="20"/>
              </w:rPr>
            </w:pPr>
            <w:r w:rsidRPr="00B57BAE">
              <w:rPr>
                <w:rStyle w:val="Taballe-Text"/>
                <w:rFonts w:ascii="Titillium Web" w:hAnsi="Titillium Web" w:cs="Titillium Web"/>
                <w:sz w:val="20"/>
                <w:szCs w:val="20"/>
              </w:rPr>
              <w:t>Wochengrundmiete (7 Tage), inklusive Anlieferung</w:t>
            </w:r>
          </w:p>
        </w:tc>
        <w:tc>
          <w:tcPr>
            <w:tcW w:w="1837" w:type="dxa"/>
            <w:vAlign w:val="center"/>
          </w:tcPr>
          <w:p w14:paraId="2AF9082C" w14:textId="5B960312" w:rsidR="00B57BAE" w:rsidRPr="00B57BAE" w:rsidRDefault="00B57BAE" w:rsidP="00B57BAE">
            <w:pPr>
              <w:autoSpaceDE w:val="0"/>
              <w:autoSpaceDN w:val="0"/>
              <w:adjustRightInd w:val="0"/>
              <w:spacing w:line="288" w:lineRule="auto"/>
              <w:textAlignment w:val="center"/>
              <w:rPr>
                <w:rFonts w:ascii="Titillium Web" w:hAnsi="Titillium Web" w:cs="Titillium Web"/>
                <w:color w:val="000000"/>
                <w:sz w:val="20"/>
                <w:szCs w:val="20"/>
              </w:rPr>
            </w:pPr>
            <w:r w:rsidRPr="00B57BAE">
              <w:rPr>
                <w:rFonts w:ascii="Titillium Web" w:hAnsi="Titillium Web" w:cs="Titillium Web"/>
                <w:sz w:val="20"/>
                <w:szCs w:val="20"/>
              </w:rPr>
              <w:t>MD600V</w:t>
            </w:r>
          </w:p>
        </w:tc>
        <w:tc>
          <w:tcPr>
            <w:tcW w:w="1954" w:type="dxa"/>
            <w:vAlign w:val="center"/>
          </w:tcPr>
          <w:p w14:paraId="6B2BA5CE" w14:textId="24B96FB7" w:rsidR="00B57BAE" w:rsidRPr="00B57BAE" w:rsidRDefault="00B57BAE" w:rsidP="00B57BAE">
            <w:pPr>
              <w:autoSpaceDE w:val="0"/>
              <w:autoSpaceDN w:val="0"/>
              <w:adjustRightInd w:val="0"/>
              <w:spacing w:line="288" w:lineRule="auto"/>
              <w:textAlignment w:val="center"/>
              <w:rPr>
                <w:rFonts w:ascii="Titillium Web" w:hAnsi="Titillium Web" w:cs="Titillium Web"/>
                <w:color w:val="000000"/>
                <w:sz w:val="20"/>
                <w:szCs w:val="20"/>
              </w:rPr>
            </w:pPr>
            <w:r w:rsidRPr="00B57BAE">
              <w:rPr>
                <w:rStyle w:val="Tabelle-Hervorhebungschwarz"/>
                <w:rFonts w:ascii="Titillium Web" w:hAnsi="Titillium Web" w:cs="Titillium Web"/>
                <w:b w:val="0"/>
                <w:bCs w:val="0"/>
                <w:sz w:val="20"/>
                <w:szCs w:val="20"/>
              </w:rPr>
              <w:t>3.385,00</w:t>
            </w:r>
          </w:p>
        </w:tc>
      </w:tr>
      <w:tr w:rsidR="00B57BAE" w:rsidRPr="00DD06C0" w14:paraId="360B0D42" w14:textId="0484B90A" w:rsidTr="00125754">
        <w:tc>
          <w:tcPr>
            <w:tcW w:w="4912" w:type="dxa"/>
            <w:vAlign w:val="center"/>
          </w:tcPr>
          <w:p w14:paraId="1A407667" w14:textId="1028A34A"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Style w:val="Taballe-Text"/>
                <w:rFonts w:ascii="Titillium Web" w:hAnsi="Titillium Web" w:cs="Titillium Web"/>
                <w:sz w:val="20"/>
                <w:szCs w:val="20"/>
              </w:rPr>
              <w:t>Mietverlängerungstag (ab dem 8. Tag</w:t>
            </w:r>
            <w:r>
              <w:rPr>
                <w:rStyle w:val="Taballe-Text"/>
                <w:rFonts w:ascii="Titillium Web" w:hAnsi="Titillium Web" w:cs="Titillium Web"/>
                <w:sz w:val="20"/>
                <w:szCs w:val="20"/>
              </w:rPr>
              <w:t>)</w:t>
            </w:r>
          </w:p>
        </w:tc>
        <w:tc>
          <w:tcPr>
            <w:tcW w:w="1837" w:type="dxa"/>
            <w:vAlign w:val="center"/>
          </w:tcPr>
          <w:p w14:paraId="607B12F9" w14:textId="12A9C32A"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Fonts w:ascii="Titillium Web" w:hAnsi="Titillium Web" w:cs="Titillium Web"/>
                <w:sz w:val="20"/>
                <w:szCs w:val="20"/>
              </w:rPr>
              <w:t>MD600VT</w:t>
            </w:r>
          </w:p>
        </w:tc>
        <w:tc>
          <w:tcPr>
            <w:tcW w:w="1954" w:type="dxa"/>
            <w:vAlign w:val="center"/>
          </w:tcPr>
          <w:p w14:paraId="72BB6901" w14:textId="02842883" w:rsidR="00B57BAE" w:rsidRPr="00B57BAE" w:rsidRDefault="00B57BAE" w:rsidP="00B57BAE">
            <w:pPr>
              <w:pStyle w:val="EinfAbs"/>
              <w:spacing w:line="276" w:lineRule="auto"/>
              <w:rPr>
                <w:rFonts w:ascii="Titillium Web" w:hAnsi="Titillium Web" w:cs="Titillium Web"/>
                <w:sz w:val="20"/>
                <w:szCs w:val="20"/>
              </w:rPr>
            </w:pPr>
            <w:r w:rsidRPr="00B57BAE">
              <w:rPr>
                <w:rStyle w:val="Tabelle-Hervorhebungschwarz"/>
                <w:rFonts w:ascii="Titillium Web" w:hAnsi="Titillium Web" w:cs="Titillium Web"/>
                <w:b w:val="0"/>
                <w:bCs w:val="0"/>
                <w:sz w:val="20"/>
                <w:szCs w:val="20"/>
              </w:rPr>
              <w:t>350,00</w:t>
            </w:r>
          </w:p>
        </w:tc>
      </w:tr>
      <w:tr w:rsidR="00B57BAE" w:rsidRPr="00DD06C0" w14:paraId="2BF1FAF3" w14:textId="77777777" w:rsidTr="00125754">
        <w:tc>
          <w:tcPr>
            <w:tcW w:w="4912" w:type="dxa"/>
            <w:vAlign w:val="center"/>
          </w:tcPr>
          <w:p w14:paraId="0951DB22" w14:textId="77FA6165"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Style w:val="Taballe-Text"/>
                <w:rFonts w:ascii="Titillium Web" w:hAnsi="Titillium Web" w:cs="Titillium Web"/>
                <w:sz w:val="20"/>
                <w:szCs w:val="20"/>
              </w:rPr>
              <w:t>Monatsgrundmiete (30 Tage), inklusive Anlieferung</w:t>
            </w:r>
          </w:p>
        </w:tc>
        <w:tc>
          <w:tcPr>
            <w:tcW w:w="1837" w:type="dxa"/>
            <w:vAlign w:val="center"/>
          </w:tcPr>
          <w:p w14:paraId="2450543C" w14:textId="0ACC86CA"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Fonts w:ascii="Titillium Web" w:hAnsi="Titillium Web" w:cs="Titillium Web"/>
                <w:sz w:val="20"/>
                <w:szCs w:val="20"/>
              </w:rPr>
              <w:t>MD600VM</w:t>
            </w:r>
          </w:p>
        </w:tc>
        <w:tc>
          <w:tcPr>
            <w:tcW w:w="1954" w:type="dxa"/>
            <w:vAlign w:val="center"/>
          </w:tcPr>
          <w:p w14:paraId="38BC5412" w14:textId="020CF4A0" w:rsidR="00B57BAE" w:rsidRPr="00B57BAE" w:rsidRDefault="00B57BAE" w:rsidP="00B57BAE">
            <w:pPr>
              <w:pStyle w:val="EinfAbs"/>
              <w:spacing w:line="276" w:lineRule="auto"/>
              <w:rPr>
                <w:rFonts w:ascii="Titillium Web" w:hAnsi="Titillium Web" w:cs="Titillium Web"/>
                <w:sz w:val="20"/>
                <w:szCs w:val="20"/>
              </w:rPr>
            </w:pPr>
            <w:r w:rsidRPr="00B57BAE">
              <w:rPr>
                <w:rStyle w:val="Tabelle-Hervorhebungschwarz"/>
                <w:rFonts w:ascii="Titillium Web" w:hAnsi="Titillium Web" w:cs="Titillium Web"/>
                <w:b w:val="0"/>
                <w:bCs w:val="0"/>
                <w:sz w:val="20"/>
                <w:szCs w:val="20"/>
              </w:rPr>
              <w:t>11.309,00</w:t>
            </w:r>
          </w:p>
        </w:tc>
      </w:tr>
      <w:tr w:rsidR="00B57BAE" w:rsidRPr="00DD06C0" w14:paraId="0FC36BEE" w14:textId="77777777" w:rsidTr="00125754">
        <w:tc>
          <w:tcPr>
            <w:tcW w:w="4912" w:type="dxa"/>
            <w:vAlign w:val="center"/>
          </w:tcPr>
          <w:p w14:paraId="527CF94D" w14:textId="391C5D24"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Style w:val="Taballe-Text"/>
                <w:rFonts w:ascii="Titillium Web" w:hAnsi="Titillium Web" w:cs="Titillium Web"/>
                <w:sz w:val="20"/>
                <w:szCs w:val="20"/>
              </w:rPr>
              <w:t>Mietverlängerungstag (ab dem 31. Tag)</w:t>
            </w:r>
          </w:p>
        </w:tc>
        <w:tc>
          <w:tcPr>
            <w:tcW w:w="1837" w:type="dxa"/>
            <w:vAlign w:val="center"/>
          </w:tcPr>
          <w:p w14:paraId="1F74E554" w14:textId="5259E3E0" w:rsidR="00B57BAE" w:rsidRPr="00B57BAE" w:rsidRDefault="00B57BAE" w:rsidP="00B57BAE">
            <w:pPr>
              <w:autoSpaceDE w:val="0"/>
              <w:autoSpaceDN w:val="0"/>
              <w:adjustRightInd w:val="0"/>
              <w:spacing w:line="276" w:lineRule="auto"/>
              <w:textAlignment w:val="center"/>
              <w:rPr>
                <w:rFonts w:ascii="Titillium Web" w:hAnsi="Titillium Web" w:cs="Titillium Web"/>
                <w:color w:val="000000"/>
                <w:sz w:val="20"/>
                <w:szCs w:val="20"/>
              </w:rPr>
            </w:pPr>
            <w:r w:rsidRPr="00B57BAE">
              <w:rPr>
                <w:rFonts w:ascii="Titillium Web" w:hAnsi="Titillium Web" w:cs="Titillium Web"/>
                <w:sz w:val="20"/>
                <w:szCs w:val="20"/>
              </w:rPr>
              <w:t>MD600VT31</w:t>
            </w:r>
          </w:p>
        </w:tc>
        <w:tc>
          <w:tcPr>
            <w:tcW w:w="1954" w:type="dxa"/>
            <w:vAlign w:val="center"/>
          </w:tcPr>
          <w:p w14:paraId="628E7FA3" w14:textId="46114E14" w:rsidR="00B57BAE" w:rsidRPr="00B57BAE" w:rsidRDefault="00B57BAE" w:rsidP="00B57BAE">
            <w:pPr>
              <w:pStyle w:val="EinfAbs"/>
              <w:spacing w:line="276" w:lineRule="auto"/>
              <w:rPr>
                <w:rFonts w:ascii="Titillium Web" w:hAnsi="Titillium Web" w:cs="Titillium Web"/>
                <w:sz w:val="20"/>
                <w:szCs w:val="20"/>
              </w:rPr>
            </w:pPr>
            <w:r w:rsidRPr="00B57BAE">
              <w:rPr>
                <w:rStyle w:val="Tabelle-Hervorhebungschwarz"/>
                <w:rFonts w:ascii="Titillium Web" w:hAnsi="Titillium Web" w:cs="Titillium Web"/>
                <w:b w:val="0"/>
                <w:bCs w:val="0"/>
                <w:sz w:val="20"/>
                <w:szCs w:val="20"/>
              </w:rPr>
              <w:t>330,00</w:t>
            </w:r>
          </w:p>
        </w:tc>
      </w:tr>
      <w:tr w:rsidR="00B57BAE" w:rsidRPr="00DD06C0" w14:paraId="304D3524" w14:textId="77777777" w:rsidTr="00125754">
        <w:tc>
          <w:tcPr>
            <w:tcW w:w="4912" w:type="dxa"/>
            <w:vAlign w:val="center"/>
          </w:tcPr>
          <w:p w14:paraId="529503A1" w14:textId="0C7288DF" w:rsidR="00B57BAE" w:rsidRPr="00B57BAE" w:rsidRDefault="00B57BAE" w:rsidP="00B57BAE">
            <w:pPr>
              <w:autoSpaceDE w:val="0"/>
              <w:autoSpaceDN w:val="0"/>
              <w:adjustRightInd w:val="0"/>
              <w:spacing w:line="276" w:lineRule="auto"/>
              <w:textAlignment w:val="center"/>
              <w:rPr>
                <w:rStyle w:val="Taballe-Text"/>
                <w:rFonts w:ascii="Titillium Web" w:hAnsi="Titillium Web" w:cs="Titillium Web"/>
                <w:sz w:val="20"/>
                <w:szCs w:val="20"/>
              </w:rPr>
            </w:pPr>
            <w:r w:rsidRPr="00B57BAE">
              <w:rPr>
                <w:rStyle w:val="Taballe-Text"/>
                <w:rFonts w:ascii="Titillium Web" w:hAnsi="Titillium Web" w:cs="Titillium Web"/>
                <w:sz w:val="20"/>
                <w:szCs w:val="20"/>
              </w:rPr>
              <w:t>Mietverlängerungstag (ab dem 121. Tag)</w:t>
            </w:r>
          </w:p>
        </w:tc>
        <w:tc>
          <w:tcPr>
            <w:tcW w:w="1837" w:type="dxa"/>
            <w:vAlign w:val="center"/>
          </w:tcPr>
          <w:p w14:paraId="39B9106E" w14:textId="214FC813" w:rsidR="00B57BAE" w:rsidRPr="00B57BAE" w:rsidRDefault="00B57BAE" w:rsidP="00B57BAE">
            <w:pPr>
              <w:autoSpaceDE w:val="0"/>
              <w:autoSpaceDN w:val="0"/>
              <w:adjustRightInd w:val="0"/>
              <w:spacing w:line="276" w:lineRule="auto"/>
              <w:textAlignment w:val="center"/>
              <w:rPr>
                <w:rStyle w:val="Taballe-Text"/>
                <w:rFonts w:ascii="Titillium Web" w:hAnsi="Titillium Web" w:cs="Titillium Web"/>
                <w:sz w:val="20"/>
                <w:szCs w:val="20"/>
              </w:rPr>
            </w:pPr>
            <w:r w:rsidRPr="00B57BAE">
              <w:rPr>
                <w:rFonts w:ascii="Titillium Web" w:hAnsi="Titillium Web" w:cs="Titillium Web"/>
                <w:sz w:val="20"/>
                <w:szCs w:val="20"/>
              </w:rPr>
              <w:t>MD600VT121</w:t>
            </w:r>
          </w:p>
        </w:tc>
        <w:tc>
          <w:tcPr>
            <w:tcW w:w="1954" w:type="dxa"/>
            <w:vAlign w:val="center"/>
          </w:tcPr>
          <w:p w14:paraId="0BB816BE" w14:textId="20ED38B3" w:rsidR="00B57BAE" w:rsidRPr="00B57BAE" w:rsidRDefault="00B57BAE" w:rsidP="00B57BAE">
            <w:pPr>
              <w:pStyle w:val="EinfAbs"/>
              <w:spacing w:line="276" w:lineRule="auto"/>
              <w:rPr>
                <w:rStyle w:val="Tabelle-Hervorhebungschwarz"/>
                <w:rFonts w:ascii="Titillium Web" w:hAnsi="Titillium Web" w:cs="Titillium Web"/>
                <w:b w:val="0"/>
                <w:bCs w:val="0"/>
                <w:sz w:val="20"/>
                <w:szCs w:val="20"/>
              </w:rPr>
            </w:pPr>
            <w:r w:rsidRPr="00B57BAE">
              <w:rPr>
                <w:rStyle w:val="Tabelle-Hervorhebungschwarz"/>
                <w:rFonts w:ascii="Titillium Web" w:hAnsi="Titillium Web" w:cs="Titillium Web"/>
                <w:b w:val="0"/>
                <w:bCs w:val="0"/>
                <w:sz w:val="20"/>
                <w:szCs w:val="20"/>
              </w:rPr>
              <w:t>319,00</w:t>
            </w:r>
          </w:p>
        </w:tc>
      </w:tr>
      <w:tr w:rsidR="00B57BAE" w:rsidRPr="00DD06C0" w14:paraId="1E428B2C" w14:textId="77777777" w:rsidTr="00125754">
        <w:tc>
          <w:tcPr>
            <w:tcW w:w="4912" w:type="dxa"/>
            <w:vAlign w:val="center"/>
          </w:tcPr>
          <w:p w14:paraId="215BC8C2" w14:textId="5BCFADF9" w:rsidR="00B57BAE" w:rsidRPr="00B57BAE" w:rsidRDefault="00B57BAE" w:rsidP="00B57BAE">
            <w:pPr>
              <w:autoSpaceDE w:val="0"/>
              <w:autoSpaceDN w:val="0"/>
              <w:adjustRightInd w:val="0"/>
              <w:spacing w:line="276" w:lineRule="auto"/>
              <w:textAlignment w:val="center"/>
              <w:rPr>
                <w:rStyle w:val="Taballe-Text"/>
                <w:rFonts w:ascii="Titillium Web" w:hAnsi="Titillium Web" w:cs="Titillium Web"/>
                <w:sz w:val="20"/>
                <w:szCs w:val="20"/>
              </w:rPr>
            </w:pPr>
            <w:r w:rsidRPr="00B57BAE">
              <w:rPr>
                <w:rStyle w:val="Taballe-Text"/>
                <w:rFonts w:ascii="Titillium Web" w:hAnsi="Titillium Web" w:cs="Titillium Web"/>
                <w:sz w:val="20"/>
                <w:szCs w:val="20"/>
              </w:rPr>
              <w:t>Mietverlängerungstag (ab dem 181. Tag)</w:t>
            </w:r>
          </w:p>
        </w:tc>
        <w:tc>
          <w:tcPr>
            <w:tcW w:w="1837" w:type="dxa"/>
            <w:vAlign w:val="center"/>
          </w:tcPr>
          <w:p w14:paraId="59318C4C" w14:textId="6C69145B" w:rsidR="00B57BAE" w:rsidRPr="00B57BAE" w:rsidRDefault="00B57BAE" w:rsidP="00B57BAE">
            <w:pPr>
              <w:autoSpaceDE w:val="0"/>
              <w:autoSpaceDN w:val="0"/>
              <w:adjustRightInd w:val="0"/>
              <w:spacing w:line="276" w:lineRule="auto"/>
              <w:textAlignment w:val="center"/>
              <w:rPr>
                <w:rStyle w:val="Taballe-Text"/>
                <w:rFonts w:ascii="Titillium Web" w:hAnsi="Titillium Web" w:cs="Titillium Web"/>
                <w:sz w:val="20"/>
                <w:szCs w:val="20"/>
              </w:rPr>
            </w:pPr>
            <w:r w:rsidRPr="00B57BAE">
              <w:rPr>
                <w:rFonts w:ascii="Titillium Web" w:hAnsi="Titillium Web" w:cs="Titillium Web"/>
                <w:sz w:val="20"/>
                <w:szCs w:val="20"/>
              </w:rPr>
              <w:t>MD600VT181</w:t>
            </w:r>
          </w:p>
        </w:tc>
        <w:tc>
          <w:tcPr>
            <w:tcW w:w="1954" w:type="dxa"/>
            <w:vAlign w:val="center"/>
          </w:tcPr>
          <w:p w14:paraId="5CE026EF" w14:textId="47A4F6EE" w:rsidR="00B57BAE" w:rsidRPr="00B57BAE" w:rsidRDefault="00B57BAE" w:rsidP="00B57BAE">
            <w:pPr>
              <w:pStyle w:val="EinfAbs"/>
              <w:spacing w:line="276" w:lineRule="auto"/>
              <w:rPr>
                <w:rStyle w:val="Tabelle-Hervorhebungschwarz"/>
                <w:rFonts w:ascii="Titillium Web" w:hAnsi="Titillium Web" w:cs="Titillium Web"/>
                <w:b w:val="0"/>
                <w:bCs w:val="0"/>
                <w:sz w:val="20"/>
                <w:szCs w:val="20"/>
              </w:rPr>
            </w:pPr>
            <w:r w:rsidRPr="00B57BAE">
              <w:rPr>
                <w:rStyle w:val="Tabelle-Hervorhebungschwarz"/>
                <w:rFonts w:ascii="Titillium Web" w:hAnsi="Titillium Web" w:cs="Titillium Web"/>
                <w:b w:val="0"/>
                <w:bCs w:val="0"/>
                <w:sz w:val="20"/>
                <w:szCs w:val="20"/>
              </w:rPr>
              <w:t>309,00</w:t>
            </w:r>
          </w:p>
        </w:tc>
      </w:tr>
      <w:tr w:rsidR="00B57BAE" w:rsidRPr="00DD06C0" w14:paraId="7937AC4D" w14:textId="77777777" w:rsidTr="00125754">
        <w:tc>
          <w:tcPr>
            <w:tcW w:w="4912" w:type="dxa"/>
            <w:vAlign w:val="center"/>
          </w:tcPr>
          <w:p w14:paraId="34743237" w14:textId="05B13F98" w:rsidR="00B57BAE" w:rsidRPr="00B57BAE" w:rsidRDefault="00B57BAE" w:rsidP="00B57BAE">
            <w:pPr>
              <w:pStyle w:val="Tabelle-TextgmitAufzhlung"/>
              <w:spacing w:line="276" w:lineRule="auto"/>
              <w:rPr>
                <w:rStyle w:val="Taballe-Text"/>
                <w:rFonts w:ascii="Titillium Web" w:hAnsi="Titillium Web" w:cs="Titillium Web"/>
                <w:sz w:val="20"/>
                <w:szCs w:val="20"/>
              </w:rPr>
            </w:pPr>
            <w:r w:rsidRPr="00B57BAE">
              <w:rPr>
                <w:rStyle w:val="Taballe-Text"/>
                <w:rFonts w:ascii="Titillium Web" w:hAnsi="Titillium Web" w:cs="Titillium Web"/>
                <w:sz w:val="20"/>
                <w:szCs w:val="20"/>
              </w:rPr>
              <w:t>Anschluss und Inbetriebnahme (IBN) mobiheat</w:t>
            </w:r>
          </w:p>
        </w:tc>
        <w:tc>
          <w:tcPr>
            <w:tcW w:w="1837" w:type="dxa"/>
            <w:vAlign w:val="center"/>
          </w:tcPr>
          <w:p w14:paraId="68B7463D" w14:textId="4C02181B" w:rsidR="00B57BAE" w:rsidRPr="00B57BAE" w:rsidRDefault="00B57BAE" w:rsidP="00B57BAE">
            <w:pPr>
              <w:autoSpaceDE w:val="0"/>
              <w:autoSpaceDN w:val="0"/>
              <w:adjustRightInd w:val="0"/>
              <w:spacing w:line="276" w:lineRule="auto"/>
              <w:textAlignment w:val="center"/>
              <w:rPr>
                <w:rStyle w:val="Taballe-Text"/>
                <w:rFonts w:ascii="Titillium Web" w:hAnsi="Titillium Web" w:cs="Titillium Web"/>
                <w:sz w:val="20"/>
                <w:szCs w:val="20"/>
              </w:rPr>
            </w:pPr>
            <w:r w:rsidRPr="00B57BAE">
              <w:rPr>
                <w:rStyle w:val="Taballe-Text"/>
                <w:rFonts w:ascii="Titillium Web" w:hAnsi="Titillium Web" w:cs="Titillium Web"/>
                <w:sz w:val="20"/>
                <w:szCs w:val="20"/>
              </w:rPr>
              <w:t>MDIBN</w:t>
            </w:r>
          </w:p>
        </w:tc>
        <w:tc>
          <w:tcPr>
            <w:tcW w:w="1954" w:type="dxa"/>
            <w:vAlign w:val="center"/>
          </w:tcPr>
          <w:p w14:paraId="5A0E7F54" w14:textId="7E4382C2" w:rsidR="00B57BAE" w:rsidRPr="00B57BAE" w:rsidRDefault="00B57BAE" w:rsidP="00B57BAE">
            <w:pPr>
              <w:pStyle w:val="EinfAbs"/>
              <w:spacing w:line="276" w:lineRule="auto"/>
              <w:rPr>
                <w:rStyle w:val="Tabelle-Hervorhebungschwarz"/>
                <w:rFonts w:ascii="Titillium Web" w:hAnsi="Titillium Web" w:cs="Titillium Web"/>
                <w:b w:val="0"/>
                <w:bCs w:val="0"/>
                <w:sz w:val="20"/>
                <w:szCs w:val="20"/>
              </w:rPr>
            </w:pPr>
            <w:r>
              <w:rPr>
                <w:rStyle w:val="Tabelle-Hervorhebungschwarz"/>
                <w:rFonts w:ascii="Titillium Web" w:hAnsi="Titillium Web" w:cs="Titillium Web"/>
                <w:b w:val="0"/>
                <w:bCs w:val="0"/>
                <w:sz w:val="20"/>
                <w:szCs w:val="20"/>
              </w:rPr>
              <w:t>Auf Anfrage</w:t>
            </w:r>
          </w:p>
        </w:tc>
      </w:tr>
      <w:tr w:rsidR="00B57BAE" w:rsidRPr="00DD06C0" w14:paraId="5B2DD2AE" w14:textId="77777777" w:rsidTr="00125754">
        <w:tc>
          <w:tcPr>
            <w:tcW w:w="4912" w:type="dxa"/>
            <w:vAlign w:val="center"/>
          </w:tcPr>
          <w:p w14:paraId="48734F7E" w14:textId="7D5A2102" w:rsidR="00B57BAE" w:rsidRPr="00B57BAE" w:rsidRDefault="00B57BAE" w:rsidP="00B57BAE">
            <w:pPr>
              <w:pStyle w:val="Tabelle-TextgmitAufzhlung"/>
              <w:spacing w:line="240" w:lineRule="auto"/>
              <w:rPr>
                <w:rStyle w:val="Taballe-Text"/>
                <w:rFonts w:ascii="Titillium Web" w:hAnsi="Titillium Web" w:cs="Titillium Web"/>
                <w:sz w:val="20"/>
                <w:szCs w:val="20"/>
              </w:rPr>
            </w:pPr>
            <w:r w:rsidRPr="00B57BAE">
              <w:rPr>
                <w:rStyle w:val="Taballe-Text"/>
                <w:rFonts w:ascii="Titillium Web" w:hAnsi="Titillium Web" w:cs="Titillium Web"/>
                <w:sz w:val="20"/>
                <w:szCs w:val="20"/>
              </w:rPr>
              <w:t>Heizölmenge für IBN (ca. 200 Liter), pro Liter (RG DL Brennstoff)</w:t>
            </w:r>
          </w:p>
        </w:tc>
        <w:tc>
          <w:tcPr>
            <w:tcW w:w="1837" w:type="dxa"/>
            <w:vAlign w:val="center"/>
          </w:tcPr>
          <w:p w14:paraId="0ABD5FDB" w14:textId="43F98320" w:rsidR="00B57BAE" w:rsidRPr="00B57BAE" w:rsidRDefault="00B57BAE" w:rsidP="00B57BAE">
            <w:pPr>
              <w:autoSpaceDE w:val="0"/>
              <w:autoSpaceDN w:val="0"/>
              <w:adjustRightInd w:val="0"/>
              <w:textAlignment w:val="center"/>
              <w:rPr>
                <w:rStyle w:val="Taballe-Text"/>
                <w:rFonts w:ascii="Titillium Web" w:hAnsi="Titillium Web" w:cs="Titillium Web"/>
                <w:sz w:val="20"/>
                <w:szCs w:val="20"/>
              </w:rPr>
            </w:pPr>
            <w:r w:rsidRPr="00B57BAE">
              <w:rPr>
                <w:rStyle w:val="Taballe-Text"/>
                <w:rFonts w:ascii="Titillium Web" w:hAnsi="Titillium Web" w:cs="Titillium Web"/>
                <w:sz w:val="20"/>
                <w:szCs w:val="20"/>
              </w:rPr>
              <w:t>MHOIL200</w:t>
            </w:r>
          </w:p>
        </w:tc>
        <w:tc>
          <w:tcPr>
            <w:tcW w:w="1954" w:type="dxa"/>
            <w:vAlign w:val="center"/>
          </w:tcPr>
          <w:p w14:paraId="1E130830" w14:textId="56282F93" w:rsidR="00B57BAE" w:rsidRPr="00B57BAE" w:rsidRDefault="00B57BAE" w:rsidP="00B57BAE">
            <w:pPr>
              <w:autoSpaceDE w:val="0"/>
              <w:autoSpaceDN w:val="0"/>
              <w:adjustRightInd w:val="0"/>
              <w:textAlignment w:val="center"/>
              <w:rPr>
                <w:rStyle w:val="Tabelle-Hervorhebungschwarz"/>
                <w:rFonts w:ascii="Titillium Web" w:hAnsi="Titillium Web" w:cs="Titillium Web"/>
                <w:b w:val="0"/>
                <w:bCs w:val="0"/>
                <w:sz w:val="20"/>
                <w:szCs w:val="20"/>
              </w:rPr>
            </w:pPr>
            <w:r w:rsidRPr="00B57BAE">
              <w:rPr>
                <w:rStyle w:val="Tabelle-Hervorhebungschwarz"/>
                <w:rFonts w:ascii="Titillium Web" w:hAnsi="Titillium Web" w:cs="Titillium Web"/>
                <w:b w:val="0"/>
                <w:bCs w:val="0"/>
                <w:sz w:val="20"/>
                <w:szCs w:val="20"/>
              </w:rPr>
              <w:t> 2,00</w:t>
            </w:r>
          </w:p>
        </w:tc>
      </w:tr>
      <w:tr w:rsidR="007367D9" w:rsidRPr="00DD06C0" w14:paraId="25B06664" w14:textId="77777777" w:rsidTr="00641C7A">
        <w:tc>
          <w:tcPr>
            <w:tcW w:w="8703" w:type="dxa"/>
            <w:gridSpan w:val="3"/>
          </w:tcPr>
          <w:p w14:paraId="388A1E12" w14:textId="78CCC9B6" w:rsidR="007367D9" w:rsidRPr="00DD06C0" w:rsidRDefault="007367D9" w:rsidP="0054389C">
            <w:pPr>
              <w:rPr>
                <w:rFonts w:ascii="Titillium Web" w:hAnsi="Titillium Web"/>
                <w:sz w:val="10"/>
                <w:szCs w:val="10"/>
              </w:rPr>
            </w:pPr>
          </w:p>
        </w:tc>
      </w:tr>
      <w:tr w:rsidR="004A4EEA" w:rsidRPr="00DD06C0" w14:paraId="62FFB92A" w14:textId="77777777" w:rsidTr="00125754">
        <w:tc>
          <w:tcPr>
            <w:tcW w:w="4912" w:type="dxa"/>
            <w:vAlign w:val="center"/>
          </w:tcPr>
          <w:p w14:paraId="012CC988" w14:textId="4D7161D5" w:rsidR="004A4EEA" w:rsidRPr="00DD06C0" w:rsidRDefault="00D610BC" w:rsidP="00D610BC">
            <w:pPr>
              <w:autoSpaceDE w:val="0"/>
              <w:autoSpaceDN w:val="0"/>
              <w:adjustRightInd w:val="0"/>
              <w:spacing w:line="288" w:lineRule="auto"/>
              <w:textAlignment w:val="center"/>
              <w:rPr>
                <w:rFonts w:ascii="Titillium Web" w:hAnsi="Titillium Web" w:cs="Titillium Web"/>
                <w:color w:val="000000"/>
                <w:sz w:val="20"/>
                <w:szCs w:val="20"/>
              </w:rPr>
            </w:pPr>
            <w:r w:rsidRPr="00DD06C0">
              <w:rPr>
                <w:rFonts w:ascii="Titillium Web" w:hAnsi="Titillium Web" w:cs="Titillium Web"/>
                <w:color w:val="000000"/>
                <w:sz w:val="20"/>
                <w:szCs w:val="20"/>
              </w:rPr>
              <w:t xml:space="preserve">Zubehör </w:t>
            </w:r>
            <w:r w:rsidR="00DB6618" w:rsidRPr="00DD06C0">
              <w:rPr>
                <w:rFonts w:ascii="Titillium Web" w:hAnsi="Titillium Web" w:cs="Titillium Web"/>
                <w:color w:val="000000"/>
                <w:sz w:val="20"/>
                <w:szCs w:val="20"/>
              </w:rPr>
              <w:t>M</w:t>
            </w:r>
            <w:r w:rsidR="00DB6618" w:rsidRPr="00DD06C0">
              <w:rPr>
                <w:rFonts w:ascii="Titillium Web" w:hAnsi="Titillium Web"/>
                <w:color w:val="000000"/>
                <w:sz w:val="20"/>
                <w:szCs w:val="20"/>
              </w:rPr>
              <w:t>ietkonditionen</w:t>
            </w:r>
          </w:p>
        </w:tc>
        <w:tc>
          <w:tcPr>
            <w:tcW w:w="1837" w:type="dxa"/>
            <w:vAlign w:val="center"/>
          </w:tcPr>
          <w:p w14:paraId="2E3C1F21" w14:textId="5AAB46C8" w:rsidR="004A4EEA" w:rsidRPr="00DD06C0" w:rsidRDefault="004A4EEA" w:rsidP="004A4EEA">
            <w:pPr>
              <w:rPr>
                <w:rFonts w:ascii="Titillium Web" w:hAnsi="Titillium Web"/>
                <w:sz w:val="20"/>
                <w:szCs w:val="20"/>
              </w:rPr>
            </w:pPr>
            <w:r w:rsidRPr="00DD06C0">
              <w:rPr>
                <w:rStyle w:val="Tabelle-Hervorhebungschwarz"/>
                <w:rFonts w:ascii="Titillium Web" w:hAnsi="Titillium Web" w:cs="Titillium Web"/>
                <w:b w:val="0"/>
                <w:bCs w:val="0"/>
                <w:sz w:val="20"/>
                <w:szCs w:val="20"/>
              </w:rPr>
              <w:t>Artikel-Nr.</w:t>
            </w:r>
          </w:p>
        </w:tc>
        <w:tc>
          <w:tcPr>
            <w:tcW w:w="1954" w:type="dxa"/>
            <w:vAlign w:val="center"/>
          </w:tcPr>
          <w:p w14:paraId="5382FBB9" w14:textId="572418C4" w:rsidR="004A4EEA" w:rsidRPr="00DD06C0" w:rsidRDefault="004A4EEA" w:rsidP="004A4EEA">
            <w:pPr>
              <w:rPr>
                <w:rFonts w:ascii="Titillium Web" w:hAnsi="Titillium Web"/>
                <w:b/>
                <w:bCs/>
                <w:sz w:val="20"/>
                <w:szCs w:val="20"/>
              </w:rPr>
            </w:pPr>
            <w:r w:rsidRPr="00DD06C0">
              <w:rPr>
                <w:rStyle w:val="Tabelle-Hervorhebungschwarz"/>
                <w:rFonts w:ascii="Titillium Web" w:hAnsi="Titillium Web" w:cs="Titillium Web"/>
                <w:b w:val="0"/>
                <w:bCs w:val="0"/>
                <w:sz w:val="20"/>
                <w:szCs w:val="20"/>
              </w:rPr>
              <w:t>Preis n</w:t>
            </w:r>
            <w:r w:rsidRPr="00DD06C0">
              <w:rPr>
                <w:rStyle w:val="Tabelle-Hervorhebungschwarz"/>
                <w:rFonts w:ascii="Titillium Web" w:hAnsi="Titillium Web"/>
                <w:b w:val="0"/>
                <w:bCs w:val="0"/>
                <w:sz w:val="20"/>
                <w:szCs w:val="20"/>
              </w:rPr>
              <w:t xml:space="preserve">etto </w:t>
            </w:r>
            <w:r w:rsidRPr="00DD06C0">
              <w:rPr>
                <w:rStyle w:val="Tabelle-Hervorhebungschwarz"/>
                <w:rFonts w:ascii="Titillium Web" w:hAnsi="Titillium Web" w:cs="Titillium Web"/>
                <w:b w:val="0"/>
                <w:bCs w:val="0"/>
                <w:sz w:val="20"/>
                <w:szCs w:val="20"/>
              </w:rPr>
              <w:t>EUR</w:t>
            </w:r>
          </w:p>
        </w:tc>
      </w:tr>
      <w:tr w:rsidR="00B57BAE" w:rsidRPr="00DD06C0" w14:paraId="46C5DD63" w14:textId="77777777" w:rsidTr="00125754">
        <w:tc>
          <w:tcPr>
            <w:tcW w:w="4912" w:type="dxa"/>
            <w:vAlign w:val="center"/>
          </w:tcPr>
          <w:p w14:paraId="5A443030" w14:textId="2B530E34" w:rsidR="00B57BAE" w:rsidRPr="00B57BAE" w:rsidRDefault="00B57BAE" w:rsidP="00B57BAE">
            <w:pPr>
              <w:pStyle w:val="Tabelle-TextgmitAufzhlung"/>
              <w:rPr>
                <w:rFonts w:ascii="Titillium Web" w:hAnsi="Titillium Web" w:cs="Titillium Web"/>
                <w:sz w:val="20"/>
                <w:szCs w:val="20"/>
              </w:rPr>
            </w:pPr>
            <w:r w:rsidRPr="00B57BAE">
              <w:rPr>
                <w:rStyle w:val="Taballe-Text"/>
                <w:rFonts w:ascii="Titillium Web" w:hAnsi="Titillium Web" w:cs="Titillium Web"/>
                <w:sz w:val="20"/>
                <w:szCs w:val="20"/>
              </w:rPr>
              <w:t>Verlängerung Anbindeleitungen für je 10 m Dampf und Kondensat (Pauschale 7 Tage)</w:t>
            </w:r>
          </w:p>
        </w:tc>
        <w:tc>
          <w:tcPr>
            <w:tcW w:w="1837" w:type="dxa"/>
            <w:vAlign w:val="center"/>
          </w:tcPr>
          <w:p w14:paraId="04F97AC2" w14:textId="387E7001" w:rsidR="00B57BAE" w:rsidRPr="00B57BAE" w:rsidRDefault="00B57BAE" w:rsidP="00B57BAE">
            <w:pPr>
              <w:autoSpaceDE w:val="0"/>
              <w:autoSpaceDN w:val="0"/>
              <w:adjustRightInd w:val="0"/>
              <w:spacing w:line="288" w:lineRule="auto"/>
              <w:textAlignment w:val="center"/>
              <w:rPr>
                <w:rFonts w:ascii="Titillium Web" w:hAnsi="Titillium Web" w:cs="Titillium Web"/>
                <w:color w:val="000000"/>
                <w:sz w:val="20"/>
                <w:szCs w:val="20"/>
              </w:rPr>
            </w:pPr>
            <w:r w:rsidRPr="00B57BAE">
              <w:rPr>
                <w:rStyle w:val="Taballe-Text"/>
                <w:rFonts w:ascii="Titillium Web" w:hAnsi="Titillium Web" w:cs="Titillium Web"/>
                <w:sz w:val="20"/>
                <w:szCs w:val="20"/>
              </w:rPr>
              <w:t>MDABL3007</w:t>
            </w:r>
          </w:p>
        </w:tc>
        <w:tc>
          <w:tcPr>
            <w:tcW w:w="1954" w:type="dxa"/>
            <w:vAlign w:val="center"/>
          </w:tcPr>
          <w:p w14:paraId="71E7055E" w14:textId="4495E2C4" w:rsidR="00B57BAE" w:rsidRPr="00B57BAE" w:rsidRDefault="00B57BAE" w:rsidP="00B57BAE">
            <w:pPr>
              <w:pStyle w:val="EinfAbs"/>
              <w:rPr>
                <w:rFonts w:ascii="Titillium Web" w:hAnsi="Titillium Web" w:cs="Titillium Web"/>
                <w:sz w:val="20"/>
                <w:szCs w:val="20"/>
              </w:rPr>
            </w:pPr>
            <w:r w:rsidRPr="00B57BAE">
              <w:rPr>
                <w:rStyle w:val="Tabelle-Hervorhebungschwarz"/>
                <w:rFonts w:ascii="Titillium Web" w:hAnsi="Titillium Web" w:cs="Titillium Web"/>
                <w:b w:val="0"/>
                <w:bCs w:val="0"/>
                <w:sz w:val="20"/>
                <w:szCs w:val="20"/>
              </w:rPr>
              <w:t>67,00</w:t>
            </w:r>
          </w:p>
        </w:tc>
      </w:tr>
      <w:tr w:rsidR="00B57BAE" w:rsidRPr="00DD06C0" w14:paraId="6D82ABAC" w14:textId="77777777" w:rsidTr="00125754">
        <w:tc>
          <w:tcPr>
            <w:tcW w:w="4912" w:type="dxa"/>
            <w:vAlign w:val="center"/>
          </w:tcPr>
          <w:p w14:paraId="22F80A3E" w14:textId="7A690E35" w:rsidR="00B57BAE" w:rsidRPr="00B57BAE" w:rsidRDefault="00B57BAE" w:rsidP="00B57BAE">
            <w:pPr>
              <w:pStyle w:val="Tabelle-TextgmitAufzhlung"/>
              <w:rPr>
                <w:rStyle w:val="Taballe-Text"/>
                <w:rFonts w:ascii="Titillium Web" w:hAnsi="Titillium Web" w:cs="Titillium Web"/>
                <w:sz w:val="20"/>
                <w:szCs w:val="20"/>
              </w:rPr>
            </w:pPr>
            <w:r w:rsidRPr="00B57BAE">
              <w:rPr>
                <w:rStyle w:val="Taballe-Text"/>
                <w:rFonts w:ascii="Titillium Web" w:hAnsi="Titillium Web" w:cs="Titillium Web"/>
                <w:sz w:val="20"/>
                <w:szCs w:val="20"/>
              </w:rPr>
              <w:t>Verlängerung Anbindeleitungen für je 10 m Dampf und Kondensat (Pauschale 30 Tage)</w:t>
            </w:r>
          </w:p>
        </w:tc>
        <w:tc>
          <w:tcPr>
            <w:tcW w:w="1837" w:type="dxa"/>
            <w:vAlign w:val="center"/>
          </w:tcPr>
          <w:p w14:paraId="20ADAA6B" w14:textId="6A85EE4D" w:rsidR="00B57BAE" w:rsidRPr="00B57BAE" w:rsidRDefault="00B57BAE" w:rsidP="00B57BAE">
            <w:pPr>
              <w:autoSpaceDE w:val="0"/>
              <w:autoSpaceDN w:val="0"/>
              <w:adjustRightInd w:val="0"/>
              <w:spacing w:line="288" w:lineRule="auto"/>
              <w:textAlignment w:val="center"/>
              <w:rPr>
                <w:rStyle w:val="Taballe-Text"/>
                <w:rFonts w:ascii="Titillium Web" w:hAnsi="Titillium Web" w:cs="Titillium Web"/>
                <w:sz w:val="20"/>
                <w:szCs w:val="20"/>
              </w:rPr>
            </w:pPr>
            <w:r w:rsidRPr="00B57BAE">
              <w:rPr>
                <w:rStyle w:val="Taballe-Text"/>
                <w:rFonts w:ascii="Titillium Web" w:hAnsi="Titillium Web" w:cs="Titillium Web"/>
                <w:sz w:val="20"/>
                <w:szCs w:val="20"/>
              </w:rPr>
              <w:t>MDABL30030</w:t>
            </w:r>
          </w:p>
        </w:tc>
        <w:tc>
          <w:tcPr>
            <w:tcW w:w="1954" w:type="dxa"/>
            <w:vAlign w:val="center"/>
          </w:tcPr>
          <w:p w14:paraId="416F7FB2" w14:textId="2C54999D" w:rsidR="00B57BAE" w:rsidRPr="00B57BAE" w:rsidRDefault="00B57BAE" w:rsidP="00B57BAE">
            <w:pPr>
              <w:pStyle w:val="EinfAbs"/>
              <w:rPr>
                <w:rStyle w:val="Tabelle-Hervorhebungschwarz"/>
                <w:rFonts w:ascii="Titillium Web" w:hAnsi="Titillium Web" w:cs="Titillium Web"/>
                <w:b w:val="0"/>
                <w:bCs w:val="0"/>
                <w:sz w:val="20"/>
                <w:szCs w:val="20"/>
              </w:rPr>
            </w:pPr>
            <w:r w:rsidRPr="00B57BAE">
              <w:rPr>
                <w:rStyle w:val="Tabelle-Hervorhebungschwarz"/>
                <w:rFonts w:ascii="Titillium Web" w:hAnsi="Titillium Web" w:cs="Titillium Web"/>
                <w:b w:val="0"/>
                <w:bCs w:val="0"/>
                <w:sz w:val="20"/>
                <w:szCs w:val="20"/>
              </w:rPr>
              <w:t>268,00</w:t>
            </w:r>
          </w:p>
        </w:tc>
      </w:tr>
      <w:tr w:rsidR="006342B2" w:rsidRPr="00DD06C0" w14:paraId="08E8D320" w14:textId="77777777" w:rsidTr="00E47565">
        <w:tc>
          <w:tcPr>
            <w:tcW w:w="8703" w:type="dxa"/>
            <w:gridSpan w:val="3"/>
            <w:vAlign w:val="center"/>
          </w:tcPr>
          <w:p w14:paraId="444E3F8D" w14:textId="6CF3A705" w:rsidR="006342B2" w:rsidRPr="006342B2" w:rsidRDefault="006342B2" w:rsidP="003A3287">
            <w:pPr>
              <w:rPr>
                <w:rStyle w:val="Tabelle-Hervorhebungschwarz"/>
                <w:rFonts w:ascii="Titillium Web" w:hAnsi="Titillium Web" w:cs="Titillium Web"/>
                <w:b w:val="0"/>
                <w:bCs w:val="0"/>
                <w:sz w:val="10"/>
                <w:szCs w:val="10"/>
              </w:rPr>
            </w:pPr>
          </w:p>
        </w:tc>
      </w:tr>
      <w:tr w:rsidR="003A3287" w:rsidRPr="00DD06C0" w14:paraId="06B42799" w14:textId="77777777" w:rsidTr="00125754">
        <w:tc>
          <w:tcPr>
            <w:tcW w:w="4912" w:type="dxa"/>
            <w:vAlign w:val="center"/>
          </w:tcPr>
          <w:p w14:paraId="775E2DCA" w14:textId="27BF7DFD" w:rsidR="003A3287" w:rsidRPr="003A3287" w:rsidRDefault="006342B2" w:rsidP="003A3287">
            <w:pPr>
              <w:autoSpaceDE w:val="0"/>
              <w:autoSpaceDN w:val="0"/>
              <w:adjustRightInd w:val="0"/>
              <w:textAlignment w:val="center"/>
              <w:rPr>
                <w:rStyle w:val="Taballe-Text"/>
                <w:rFonts w:ascii="Titillium Web" w:hAnsi="Titillium Web" w:cs="Titillium Web"/>
                <w:sz w:val="20"/>
                <w:szCs w:val="20"/>
              </w:rPr>
            </w:pPr>
            <w:r>
              <w:rPr>
                <w:rStyle w:val="Taballe-Text"/>
                <w:rFonts w:ascii="Titillium Web" w:hAnsi="Titillium Web" w:cs="Titillium Web"/>
                <w:sz w:val="20"/>
                <w:szCs w:val="20"/>
              </w:rPr>
              <w:t>B</w:t>
            </w:r>
            <w:r>
              <w:rPr>
                <w:rStyle w:val="Taballe-Text"/>
              </w:rPr>
              <w:t xml:space="preserve">rennstoffversorgung </w:t>
            </w:r>
          </w:p>
        </w:tc>
        <w:tc>
          <w:tcPr>
            <w:tcW w:w="1837" w:type="dxa"/>
            <w:vAlign w:val="center"/>
          </w:tcPr>
          <w:p w14:paraId="730FA361" w14:textId="39CFFDF8" w:rsidR="003A3287" w:rsidRPr="003A3287" w:rsidRDefault="006342B2" w:rsidP="003A3287">
            <w:pPr>
              <w:autoSpaceDE w:val="0"/>
              <w:autoSpaceDN w:val="0"/>
              <w:adjustRightInd w:val="0"/>
              <w:spacing w:line="288" w:lineRule="auto"/>
              <w:textAlignment w:val="center"/>
              <w:rPr>
                <w:rStyle w:val="Taballe-Text"/>
                <w:rFonts w:ascii="Titillium Web" w:hAnsi="Titillium Web" w:cs="Titillium Web"/>
                <w:sz w:val="20"/>
                <w:szCs w:val="20"/>
              </w:rPr>
            </w:pPr>
            <w:r>
              <w:rPr>
                <w:rStyle w:val="Taballe-Text"/>
                <w:rFonts w:ascii="Titillium Web" w:hAnsi="Titillium Web" w:cs="Titillium Web"/>
                <w:sz w:val="20"/>
                <w:szCs w:val="20"/>
              </w:rPr>
              <w:t>Artikel-Nr.</w:t>
            </w:r>
          </w:p>
        </w:tc>
        <w:tc>
          <w:tcPr>
            <w:tcW w:w="1954" w:type="dxa"/>
            <w:vAlign w:val="center"/>
          </w:tcPr>
          <w:p w14:paraId="39FBA9F6" w14:textId="1B0FFF17" w:rsidR="003A3287" w:rsidRPr="003A3287" w:rsidRDefault="006342B2" w:rsidP="003A3287">
            <w:pPr>
              <w:rPr>
                <w:rStyle w:val="Tabelle-Hervorhebungschwarz"/>
                <w:rFonts w:ascii="Titillium Web" w:hAnsi="Titillium Web" w:cs="Titillium Web"/>
                <w:b w:val="0"/>
                <w:bCs w:val="0"/>
                <w:sz w:val="20"/>
                <w:szCs w:val="20"/>
              </w:rPr>
            </w:pPr>
            <w:r w:rsidRPr="00DD06C0">
              <w:rPr>
                <w:rStyle w:val="Tabelle-Hervorhebungschwarz"/>
                <w:rFonts w:ascii="Titillium Web" w:hAnsi="Titillium Web" w:cs="Titillium Web"/>
                <w:b w:val="0"/>
                <w:bCs w:val="0"/>
                <w:sz w:val="20"/>
                <w:szCs w:val="20"/>
              </w:rPr>
              <w:t>Preis n</w:t>
            </w:r>
            <w:r w:rsidRPr="00DD06C0">
              <w:rPr>
                <w:rStyle w:val="Tabelle-Hervorhebungschwarz"/>
                <w:rFonts w:ascii="Titillium Web" w:hAnsi="Titillium Web"/>
                <w:b w:val="0"/>
                <w:bCs w:val="0"/>
                <w:sz w:val="20"/>
                <w:szCs w:val="20"/>
              </w:rPr>
              <w:t xml:space="preserve">etto </w:t>
            </w:r>
            <w:r w:rsidRPr="00DD06C0">
              <w:rPr>
                <w:rStyle w:val="Tabelle-Hervorhebungschwarz"/>
                <w:rFonts w:ascii="Titillium Web" w:hAnsi="Titillium Web" w:cs="Titillium Web"/>
                <w:b w:val="0"/>
                <w:bCs w:val="0"/>
                <w:sz w:val="20"/>
                <w:szCs w:val="20"/>
              </w:rPr>
              <w:t>EUR</w:t>
            </w:r>
          </w:p>
        </w:tc>
      </w:tr>
      <w:tr w:rsidR="006342B2" w:rsidRPr="00DD06C0" w14:paraId="5D6899DC" w14:textId="77777777" w:rsidTr="00125754">
        <w:tc>
          <w:tcPr>
            <w:tcW w:w="4912" w:type="dxa"/>
            <w:vAlign w:val="center"/>
          </w:tcPr>
          <w:p w14:paraId="76CD963F" w14:textId="39ADDFF7" w:rsidR="006342B2" w:rsidRPr="006342B2" w:rsidRDefault="006342B2" w:rsidP="006342B2">
            <w:pPr>
              <w:autoSpaceDE w:val="0"/>
              <w:autoSpaceDN w:val="0"/>
              <w:adjustRightInd w:val="0"/>
              <w:textAlignment w:val="center"/>
              <w:rPr>
                <w:rStyle w:val="Taballe-Text"/>
                <w:rFonts w:ascii="Titillium Web" w:hAnsi="Titillium Web" w:cs="Titillium Web"/>
                <w:sz w:val="20"/>
                <w:szCs w:val="20"/>
              </w:rPr>
            </w:pPr>
            <w:r w:rsidRPr="006342B2">
              <w:rPr>
                <w:rStyle w:val="Taballe-Text"/>
                <w:rFonts w:ascii="Titillium Web" w:hAnsi="Titillium Web" w:cs="Titillium Web"/>
                <w:sz w:val="20"/>
                <w:szCs w:val="20"/>
              </w:rPr>
              <w:t>Abrechnung pro Liter nach tats. Verbrauch (RG DL lfd. BV/Betrieb)</w:t>
            </w:r>
          </w:p>
        </w:tc>
        <w:tc>
          <w:tcPr>
            <w:tcW w:w="1837" w:type="dxa"/>
            <w:vAlign w:val="center"/>
          </w:tcPr>
          <w:p w14:paraId="4809E366" w14:textId="5E75DB8C" w:rsidR="006342B2" w:rsidRPr="006342B2" w:rsidRDefault="006342B2" w:rsidP="006342B2">
            <w:pPr>
              <w:autoSpaceDE w:val="0"/>
              <w:autoSpaceDN w:val="0"/>
              <w:adjustRightInd w:val="0"/>
              <w:spacing w:line="288" w:lineRule="auto"/>
              <w:textAlignment w:val="center"/>
              <w:rPr>
                <w:rStyle w:val="Taballe-Text"/>
                <w:rFonts w:ascii="Titillium Web" w:hAnsi="Titillium Web" w:cs="Titillium Web"/>
                <w:sz w:val="20"/>
                <w:szCs w:val="20"/>
              </w:rPr>
            </w:pPr>
            <w:r w:rsidRPr="006342B2">
              <w:rPr>
                <w:rStyle w:val="Taballe-Text"/>
                <w:rFonts w:ascii="Titillium Web" w:hAnsi="Titillium Web" w:cs="Titillium Web"/>
                <w:sz w:val="20"/>
                <w:szCs w:val="20"/>
              </w:rPr>
              <w:t>MHOILBV</w:t>
            </w:r>
          </w:p>
        </w:tc>
        <w:tc>
          <w:tcPr>
            <w:tcW w:w="1954" w:type="dxa"/>
            <w:vAlign w:val="center"/>
          </w:tcPr>
          <w:p w14:paraId="3E65AB47" w14:textId="6A747B60" w:rsidR="006342B2" w:rsidRPr="006342B2" w:rsidRDefault="006342B2" w:rsidP="006342B2">
            <w:pPr>
              <w:rPr>
                <w:rStyle w:val="Tabelle-Hervorhebungschwarz"/>
                <w:rFonts w:ascii="Titillium Web" w:hAnsi="Titillium Web" w:cs="Titillium Web"/>
                <w:b w:val="0"/>
                <w:bCs w:val="0"/>
                <w:sz w:val="20"/>
                <w:szCs w:val="20"/>
              </w:rPr>
            </w:pPr>
            <w:r w:rsidRPr="006342B2">
              <w:rPr>
                <w:rStyle w:val="Tabelle-Hervorhebungschwarz"/>
                <w:rFonts w:ascii="Titillium Web" w:hAnsi="Titillium Web" w:cs="Titillium Web"/>
                <w:b w:val="0"/>
                <w:bCs w:val="0"/>
                <w:sz w:val="20"/>
                <w:szCs w:val="20"/>
              </w:rPr>
              <w:t>auf Anfrage</w:t>
            </w:r>
          </w:p>
        </w:tc>
      </w:tr>
    </w:tbl>
    <w:p w14:paraId="4058E86E" w14:textId="77777777" w:rsidR="007367D9" w:rsidRPr="003A3287" w:rsidRDefault="007367D9" w:rsidP="00DD06C0">
      <w:pPr>
        <w:spacing w:line="240" w:lineRule="auto"/>
        <w:rPr>
          <w:rFonts w:ascii="Titillium Web" w:hAnsi="Titillium Web"/>
          <w:sz w:val="2"/>
          <w:szCs w:val="2"/>
        </w:rPr>
      </w:pPr>
    </w:p>
    <w:sectPr w:rsidR="007367D9" w:rsidRPr="003A3287"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E1E"/>
    <w:multiLevelType w:val="hybridMultilevel"/>
    <w:tmpl w:val="4D8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576C0"/>
    <w:multiLevelType w:val="hybridMultilevel"/>
    <w:tmpl w:val="F9E8D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359AE"/>
    <w:multiLevelType w:val="hybridMultilevel"/>
    <w:tmpl w:val="6F52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03184"/>
    <w:multiLevelType w:val="hybridMultilevel"/>
    <w:tmpl w:val="9EB2A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64C92"/>
    <w:multiLevelType w:val="hybridMultilevel"/>
    <w:tmpl w:val="716E1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A719E8"/>
    <w:multiLevelType w:val="hybridMultilevel"/>
    <w:tmpl w:val="33CEA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1B6835"/>
    <w:multiLevelType w:val="hybridMultilevel"/>
    <w:tmpl w:val="FF64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03536"/>
    <w:multiLevelType w:val="hybridMultilevel"/>
    <w:tmpl w:val="34D8B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D10214"/>
    <w:multiLevelType w:val="hybridMultilevel"/>
    <w:tmpl w:val="C1544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D4759B"/>
    <w:multiLevelType w:val="hybridMultilevel"/>
    <w:tmpl w:val="04625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B6AD4"/>
    <w:multiLevelType w:val="hybridMultilevel"/>
    <w:tmpl w:val="0F64F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75458B"/>
    <w:multiLevelType w:val="hybridMultilevel"/>
    <w:tmpl w:val="2D0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7"/>
  </w:num>
  <w:num w:numId="4">
    <w:abstractNumId w:val="16"/>
  </w:num>
  <w:num w:numId="5">
    <w:abstractNumId w:val="28"/>
  </w:num>
  <w:num w:numId="6">
    <w:abstractNumId w:val="6"/>
  </w:num>
  <w:num w:numId="7">
    <w:abstractNumId w:val="19"/>
  </w:num>
  <w:num w:numId="8">
    <w:abstractNumId w:val="5"/>
  </w:num>
  <w:num w:numId="9">
    <w:abstractNumId w:val="18"/>
  </w:num>
  <w:num w:numId="10">
    <w:abstractNumId w:val="15"/>
  </w:num>
  <w:num w:numId="11">
    <w:abstractNumId w:val="3"/>
  </w:num>
  <w:num w:numId="12">
    <w:abstractNumId w:val="10"/>
  </w:num>
  <w:num w:numId="13">
    <w:abstractNumId w:val="11"/>
  </w:num>
  <w:num w:numId="14">
    <w:abstractNumId w:val="24"/>
  </w:num>
  <w:num w:numId="15">
    <w:abstractNumId w:val="17"/>
  </w:num>
  <w:num w:numId="16">
    <w:abstractNumId w:val="22"/>
  </w:num>
  <w:num w:numId="17">
    <w:abstractNumId w:val="4"/>
  </w:num>
  <w:num w:numId="18">
    <w:abstractNumId w:val="14"/>
  </w:num>
  <w:num w:numId="19">
    <w:abstractNumId w:val="20"/>
  </w:num>
  <w:num w:numId="20">
    <w:abstractNumId w:val="23"/>
  </w:num>
  <w:num w:numId="21">
    <w:abstractNumId w:val="2"/>
  </w:num>
  <w:num w:numId="22">
    <w:abstractNumId w:val="26"/>
  </w:num>
  <w:num w:numId="23">
    <w:abstractNumId w:val="8"/>
  </w:num>
  <w:num w:numId="24">
    <w:abstractNumId w:val="27"/>
  </w:num>
  <w:num w:numId="25">
    <w:abstractNumId w:val="13"/>
  </w:num>
  <w:num w:numId="26">
    <w:abstractNumId w:val="9"/>
  </w:num>
  <w:num w:numId="27">
    <w:abstractNumId w:val="0"/>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03106"/>
    <w:rsid w:val="00114CB7"/>
    <w:rsid w:val="0012033A"/>
    <w:rsid w:val="00125754"/>
    <w:rsid w:val="00196C33"/>
    <w:rsid w:val="001A7B71"/>
    <w:rsid w:val="003717CC"/>
    <w:rsid w:val="003A3287"/>
    <w:rsid w:val="003A6D82"/>
    <w:rsid w:val="003C1AD4"/>
    <w:rsid w:val="004909B0"/>
    <w:rsid w:val="004A4DAE"/>
    <w:rsid w:val="004A4EEA"/>
    <w:rsid w:val="006342B2"/>
    <w:rsid w:val="007367D9"/>
    <w:rsid w:val="007612CA"/>
    <w:rsid w:val="008165DD"/>
    <w:rsid w:val="00864D2E"/>
    <w:rsid w:val="008C06DB"/>
    <w:rsid w:val="008E27D5"/>
    <w:rsid w:val="008E6BA1"/>
    <w:rsid w:val="00914D83"/>
    <w:rsid w:val="00925707"/>
    <w:rsid w:val="009760AD"/>
    <w:rsid w:val="009C0BA9"/>
    <w:rsid w:val="009D2A9B"/>
    <w:rsid w:val="00B05BDE"/>
    <w:rsid w:val="00B57BAE"/>
    <w:rsid w:val="00B7246D"/>
    <w:rsid w:val="00BA4D23"/>
    <w:rsid w:val="00BC1C8E"/>
    <w:rsid w:val="00C44C3A"/>
    <w:rsid w:val="00C47C95"/>
    <w:rsid w:val="00CF462D"/>
    <w:rsid w:val="00D1090B"/>
    <w:rsid w:val="00D47288"/>
    <w:rsid w:val="00D610BC"/>
    <w:rsid w:val="00DB6618"/>
    <w:rsid w:val="00DD06C0"/>
    <w:rsid w:val="00F44EC0"/>
    <w:rsid w:val="00FF4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 w:type="character" w:customStyle="1" w:styleId="Tabelle-Hervorhebungwei">
    <w:name w:val="Tabelle - Hervorhebung weiß"/>
    <w:uiPriority w:val="99"/>
    <w:rsid w:val="00D47288"/>
    <w:rPr>
      <w:b/>
      <w:bCs/>
      <w:color w:val="FFFFFF"/>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2</cp:revision>
  <dcterms:created xsi:type="dcterms:W3CDTF">2021-02-24T08:36:00Z</dcterms:created>
  <dcterms:modified xsi:type="dcterms:W3CDTF">2021-02-24T08:36:00Z</dcterms:modified>
</cp:coreProperties>
</file>