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A915" w14:textId="46ACE574" w:rsidR="008C06DB" w:rsidRPr="004909B0" w:rsidRDefault="00D47288" w:rsidP="008165DD">
      <w:pPr>
        <w:spacing w:line="240" w:lineRule="auto"/>
        <w:rPr>
          <w:rFonts w:ascii="Titillium Web" w:hAnsi="Titillium Web"/>
          <w:b/>
          <w:bCs/>
          <w:sz w:val="20"/>
          <w:szCs w:val="20"/>
        </w:rPr>
      </w:pPr>
      <w:bookmarkStart w:id="0" w:name="_Hlk64973301"/>
      <w:bookmarkStart w:id="1" w:name="_Hlk64978827"/>
      <w:r w:rsidRPr="004909B0">
        <w:rPr>
          <w:rFonts w:ascii="Titillium Web" w:hAnsi="Titillium Web"/>
          <w:b/>
          <w:bCs/>
          <w:sz w:val="20"/>
          <w:szCs w:val="20"/>
        </w:rPr>
        <w:t xml:space="preserve">Mobiheat MC </w:t>
      </w:r>
      <w:r w:rsidR="004909B0" w:rsidRPr="004909B0">
        <w:rPr>
          <w:rFonts w:ascii="Titillium Web" w:hAnsi="Titillium Web"/>
          <w:b/>
          <w:bCs/>
          <w:sz w:val="20"/>
          <w:szCs w:val="20"/>
        </w:rPr>
        <w:t xml:space="preserve">150 </w:t>
      </w:r>
      <w:r w:rsidRPr="004909B0">
        <w:rPr>
          <w:rFonts w:ascii="Titillium Web" w:hAnsi="Titillium Web"/>
          <w:b/>
          <w:bCs/>
          <w:sz w:val="20"/>
          <w:szCs w:val="20"/>
        </w:rPr>
        <w:t xml:space="preserve">| </w:t>
      </w:r>
      <w:r w:rsidR="004909B0" w:rsidRPr="004909B0">
        <w:rPr>
          <w:rFonts w:ascii="Titillium Web" w:hAnsi="Titillium Web"/>
          <w:b/>
          <w:bCs/>
          <w:sz w:val="20"/>
          <w:szCs w:val="20"/>
        </w:rPr>
        <w:t>80</w:t>
      </w:r>
      <w:r w:rsidR="00103106" w:rsidRPr="004909B0">
        <w:rPr>
          <w:rFonts w:ascii="Titillium Web" w:hAnsi="Titillium Web"/>
          <w:b/>
          <w:bCs/>
          <w:sz w:val="20"/>
          <w:szCs w:val="20"/>
        </w:rPr>
        <w:t>/</w:t>
      </w:r>
      <w:r w:rsidR="004909B0" w:rsidRPr="004909B0">
        <w:rPr>
          <w:rFonts w:ascii="Titillium Web" w:hAnsi="Titillium Web"/>
          <w:b/>
          <w:bCs/>
          <w:sz w:val="20"/>
          <w:szCs w:val="20"/>
        </w:rPr>
        <w:t>150</w:t>
      </w:r>
      <w:r w:rsidR="009C0BA9" w:rsidRPr="004909B0">
        <w:rPr>
          <w:rFonts w:ascii="Titillium Web" w:hAnsi="Titillium Web"/>
          <w:b/>
          <w:bCs/>
          <w:sz w:val="20"/>
          <w:szCs w:val="20"/>
        </w:rPr>
        <w:t xml:space="preserve"> </w:t>
      </w:r>
      <w:r w:rsidR="00DB6618" w:rsidRPr="004909B0">
        <w:rPr>
          <w:rFonts w:ascii="Titillium Web" w:hAnsi="Titillium Web"/>
          <w:b/>
          <w:bCs/>
          <w:sz w:val="20"/>
          <w:szCs w:val="20"/>
        </w:rPr>
        <w:t>k</w:t>
      </w:r>
      <w:r w:rsidRPr="004909B0">
        <w:rPr>
          <w:rFonts w:ascii="Titillium Web" w:hAnsi="Titillium Web"/>
          <w:b/>
          <w:bCs/>
          <w:sz w:val="20"/>
          <w:szCs w:val="20"/>
        </w:rPr>
        <w:t>W Kaltwassersatz</w:t>
      </w:r>
    </w:p>
    <w:bookmarkEnd w:id="0"/>
    <w:bookmarkEnd w:id="1"/>
    <w:p w14:paraId="07B96BCA" w14:textId="77777777" w:rsidR="004909B0" w:rsidRPr="004909B0" w:rsidRDefault="004909B0" w:rsidP="004909B0">
      <w:pPr>
        <w:autoSpaceDE w:val="0"/>
        <w:autoSpaceDN w:val="0"/>
        <w:adjustRightInd w:val="0"/>
        <w:spacing w:after="0" w:line="288" w:lineRule="auto"/>
        <w:textAlignment w:val="center"/>
        <w:rPr>
          <w:rFonts w:ascii="Titillium Web" w:hAnsi="Titillium Web" w:cs="Dax Offc Pro"/>
          <w:color w:val="000000"/>
          <w:sz w:val="20"/>
          <w:szCs w:val="20"/>
        </w:rPr>
      </w:pPr>
      <w:r w:rsidRPr="004909B0">
        <w:rPr>
          <w:rFonts w:ascii="Titillium Web" w:hAnsi="Titillium Web" w:cs="Dax Offc Pro"/>
          <w:color w:val="000000"/>
          <w:sz w:val="20"/>
          <w:szCs w:val="20"/>
        </w:rPr>
        <w:t xml:space="preserve">Die </w:t>
      </w:r>
      <w:r w:rsidRPr="004909B0">
        <w:rPr>
          <w:rFonts w:ascii="Titillium Web" w:hAnsi="Titillium Web" w:cs="Dax Offc Pro"/>
          <w:b/>
          <w:bCs/>
          <w:color w:val="000000"/>
          <w:sz w:val="20"/>
          <w:szCs w:val="20"/>
        </w:rPr>
        <w:t>mobile Kältezentrale MC150</w:t>
      </w:r>
      <w:r w:rsidRPr="004909B0">
        <w:rPr>
          <w:rFonts w:ascii="Titillium Web" w:hAnsi="Titillium Web" w:cs="Dax Offc Pro"/>
          <w:color w:val="000000"/>
          <w:sz w:val="20"/>
          <w:szCs w:val="20"/>
        </w:rPr>
        <w:t xml:space="preserve"> ist ein außen aufgestellter, </w:t>
      </w:r>
    </w:p>
    <w:p w14:paraId="6F68CB6B" w14:textId="77777777" w:rsidR="004909B0" w:rsidRPr="004909B0" w:rsidRDefault="004909B0" w:rsidP="004909B0">
      <w:pPr>
        <w:autoSpaceDE w:val="0"/>
        <w:autoSpaceDN w:val="0"/>
        <w:adjustRightInd w:val="0"/>
        <w:spacing w:after="0" w:line="288" w:lineRule="auto"/>
        <w:textAlignment w:val="center"/>
        <w:rPr>
          <w:rFonts w:ascii="Titillium Web" w:hAnsi="Titillium Web" w:cs="Dax Offc Pro"/>
          <w:color w:val="000000"/>
          <w:sz w:val="20"/>
          <w:szCs w:val="20"/>
        </w:rPr>
      </w:pPr>
      <w:r w:rsidRPr="004909B0">
        <w:rPr>
          <w:rFonts w:ascii="Titillium Web" w:hAnsi="Titillium Web" w:cs="Dax Offc Pro"/>
          <w:color w:val="000000"/>
          <w:sz w:val="20"/>
          <w:szCs w:val="20"/>
        </w:rPr>
        <w:t>luftgekühlter Kaltwassersatz mit einer Leistung von 80/150 kW.</w:t>
      </w:r>
      <w:r w:rsidRPr="004909B0">
        <w:rPr>
          <w:rFonts w:ascii="Titillium Web" w:hAnsi="Titillium Web" w:cs="Dax Offc Pro"/>
          <w:color w:val="000000"/>
          <w:sz w:val="20"/>
          <w:szCs w:val="20"/>
        </w:rPr>
        <w:br/>
        <w:t>Der GWP-Wert des verwendeten Kältemittels R454B liegt um 78 % niedriger als bei R410A. Im Vergleich zu den bislang eingesetzten luftgekühlten Lösungen mit R410A sind die neuen Produkte mit R454B von der Kälteleistung her quasi identisch, die Effizienz ist jedoch etwas höher und der Kältemittelmassenstrom liegt lediglich bei 80 %. Dies führt dazu, dass die Kältemittel-Füllmenge deutlich reduziert werden kann. Das verringert das CO2-Äquivalent der Geräte nochmals.</w:t>
      </w:r>
    </w:p>
    <w:p w14:paraId="2250BA10" w14:textId="77777777" w:rsidR="004909B0" w:rsidRPr="004909B0" w:rsidRDefault="004909B0" w:rsidP="004909B0">
      <w:pPr>
        <w:autoSpaceDE w:val="0"/>
        <w:autoSpaceDN w:val="0"/>
        <w:adjustRightInd w:val="0"/>
        <w:spacing w:after="0" w:line="288" w:lineRule="auto"/>
        <w:textAlignment w:val="center"/>
        <w:rPr>
          <w:rFonts w:ascii="Titillium Web" w:hAnsi="Titillium Web" w:cs="Dax Offc Pro"/>
          <w:b/>
          <w:bCs/>
          <w:color w:val="000000"/>
          <w:sz w:val="20"/>
          <w:szCs w:val="20"/>
        </w:rPr>
      </w:pPr>
    </w:p>
    <w:p w14:paraId="0DFECAC3" w14:textId="77777777" w:rsidR="004909B0" w:rsidRPr="004909B0" w:rsidRDefault="004909B0" w:rsidP="004909B0">
      <w:pPr>
        <w:autoSpaceDE w:val="0"/>
        <w:autoSpaceDN w:val="0"/>
        <w:adjustRightInd w:val="0"/>
        <w:spacing w:after="0" w:line="288" w:lineRule="auto"/>
        <w:textAlignment w:val="center"/>
        <w:rPr>
          <w:rFonts w:ascii="Titillium Web" w:hAnsi="Titillium Web" w:cs="Dax Offc Pro"/>
          <w:color w:val="000000"/>
          <w:sz w:val="20"/>
          <w:szCs w:val="20"/>
        </w:rPr>
      </w:pPr>
      <w:r w:rsidRPr="004909B0">
        <w:rPr>
          <w:rFonts w:ascii="Titillium Web" w:hAnsi="Titillium Web" w:cs="Dax Offc Pro"/>
          <w:b/>
          <w:bCs/>
          <w:color w:val="000000"/>
          <w:sz w:val="20"/>
          <w:szCs w:val="20"/>
        </w:rPr>
        <w:t>Einsatzgebiete:</w:t>
      </w:r>
    </w:p>
    <w:p w14:paraId="4A53B44C" w14:textId="02B5513E" w:rsidR="00DB6618" w:rsidRPr="004909B0" w:rsidRDefault="004909B0" w:rsidP="004909B0">
      <w:pPr>
        <w:autoSpaceDE w:val="0"/>
        <w:autoSpaceDN w:val="0"/>
        <w:adjustRightInd w:val="0"/>
        <w:spacing w:after="0" w:line="240" w:lineRule="auto"/>
        <w:textAlignment w:val="center"/>
        <w:rPr>
          <w:rFonts w:ascii="Titillium Web" w:hAnsi="Titillium Web" w:cs="Titillium Web"/>
          <w:color w:val="000000"/>
          <w:sz w:val="20"/>
          <w:szCs w:val="20"/>
        </w:rPr>
      </w:pPr>
      <w:r w:rsidRPr="004909B0">
        <w:rPr>
          <w:rFonts w:ascii="Titillium Web" w:hAnsi="Titillium Web" w:cs="Dax Offc Pro"/>
          <w:color w:val="000000"/>
          <w:sz w:val="20"/>
          <w:szCs w:val="20"/>
        </w:rPr>
        <w:t>Kaltwassersätze sind sehr flexibel einsetzbar und werden vor allem bei Prozesskühlungen eingesetzt. In der industriellen Fertigung kann der Kaltwassersatz bei der Maschinenkühlung die geforderte Temperatur mit hoher Genauigkeit gewährleisten. Hauptsächlich kommt ein Kaltwassersatz bei Fertigungsprozessen, Maschinen und in Rechnungszentren zum Einsatz. Außerdem kann mit Kältezentralen dieser Art eine optimale Kühlung in Wohngebäuden oder gewerblichen Räumen erzielt werden.</w:t>
      </w:r>
    </w:p>
    <w:p w14:paraId="3B9B1976" w14:textId="77777777" w:rsidR="004909B0" w:rsidRPr="004909B0" w:rsidRDefault="004909B0" w:rsidP="008165DD">
      <w:pPr>
        <w:autoSpaceDE w:val="0"/>
        <w:autoSpaceDN w:val="0"/>
        <w:adjustRightInd w:val="0"/>
        <w:spacing w:after="0" w:line="240" w:lineRule="auto"/>
        <w:textAlignment w:val="center"/>
        <w:rPr>
          <w:rFonts w:ascii="Titillium Web" w:hAnsi="Titillium Web" w:cs="Titillium Web"/>
          <w:color w:val="000000"/>
          <w:sz w:val="20"/>
          <w:szCs w:val="20"/>
        </w:rPr>
      </w:pPr>
    </w:p>
    <w:p w14:paraId="39E05558" w14:textId="33220809" w:rsidR="00DB6618" w:rsidRPr="004909B0" w:rsidRDefault="00864D2E" w:rsidP="008165DD">
      <w:pPr>
        <w:autoSpaceDE w:val="0"/>
        <w:autoSpaceDN w:val="0"/>
        <w:adjustRightInd w:val="0"/>
        <w:spacing w:after="0" w:line="240" w:lineRule="auto"/>
        <w:textAlignment w:val="center"/>
        <w:rPr>
          <w:rFonts w:ascii="Titillium Web" w:hAnsi="Titillium Web" w:cs="Titillium Web"/>
          <w:color w:val="000000"/>
          <w:sz w:val="20"/>
          <w:szCs w:val="20"/>
        </w:rPr>
      </w:pPr>
      <w:r w:rsidRPr="004909B0">
        <w:rPr>
          <w:rFonts w:ascii="Titillium Web" w:hAnsi="Titillium Web" w:cs="Titillium Web"/>
          <w:color w:val="000000"/>
          <w:sz w:val="20"/>
          <w:szCs w:val="20"/>
        </w:rPr>
        <w:t>Mietkonditionen</w:t>
      </w:r>
    </w:p>
    <w:p w14:paraId="1F0D2EC4" w14:textId="77777777" w:rsidR="004909B0" w:rsidRPr="004909B0" w:rsidRDefault="004909B0" w:rsidP="004909B0">
      <w:pPr>
        <w:pStyle w:val="Listenabsatz"/>
        <w:numPr>
          <w:ilvl w:val="0"/>
          <w:numId w:val="22"/>
        </w:numPr>
        <w:autoSpaceDE w:val="0"/>
        <w:autoSpaceDN w:val="0"/>
        <w:adjustRightInd w:val="0"/>
        <w:spacing w:after="0" w:line="260" w:lineRule="atLeast"/>
        <w:textAlignment w:val="center"/>
        <w:rPr>
          <w:rFonts w:ascii="Titillium Web" w:hAnsi="Titillium Web" w:cs="Titillium Web"/>
          <w:color w:val="000000"/>
          <w:sz w:val="20"/>
          <w:szCs w:val="20"/>
        </w:rPr>
      </w:pPr>
      <w:r w:rsidRPr="004909B0">
        <w:rPr>
          <w:rFonts w:ascii="Titillium Web" w:hAnsi="Titillium Web" w:cs="Titillium Web"/>
          <w:color w:val="000000"/>
          <w:sz w:val="20"/>
          <w:szCs w:val="20"/>
        </w:rPr>
        <w:t>Anlieferung und Abholung</w:t>
      </w:r>
    </w:p>
    <w:p w14:paraId="08252761" w14:textId="6523875F" w:rsidR="004909B0" w:rsidRPr="004909B0" w:rsidRDefault="004909B0" w:rsidP="004909B0">
      <w:pPr>
        <w:pStyle w:val="Listenabsatz"/>
        <w:numPr>
          <w:ilvl w:val="0"/>
          <w:numId w:val="22"/>
        </w:numPr>
        <w:autoSpaceDE w:val="0"/>
        <w:autoSpaceDN w:val="0"/>
        <w:adjustRightInd w:val="0"/>
        <w:spacing w:after="0" w:line="260" w:lineRule="atLeast"/>
        <w:textAlignment w:val="center"/>
        <w:rPr>
          <w:rFonts w:ascii="Titillium Web" w:hAnsi="Titillium Web" w:cs="Titillium Web"/>
          <w:color w:val="000000"/>
          <w:sz w:val="20"/>
          <w:szCs w:val="20"/>
        </w:rPr>
      </w:pPr>
      <w:r w:rsidRPr="004909B0">
        <w:rPr>
          <w:rFonts w:ascii="Titillium Web" w:hAnsi="Titillium Web" w:cs="Titillium Web"/>
          <w:color w:val="000000"/>
          <w:sz w:val="20"/>
          <w:szCs w:val="20"/>
        </w:rPr>
        <w:t>Inkl. Anschlüsse und Anbindeleitungen (für je 10 m Vorlauf und Rücklauf)</w:t>
      </w:r>
    </w:p>
    <w:p w14:paraId="6D66EC92" w14:textId="520A00D1" w:rsidR="004909B0" w:rsidRPr="004909B0" w:rsidRDefault="004909B0" w:rsidP="004909B0">
      <w:pPr>
        <w:pStyle w:val="Listenabsatz"/>
        <w:numPr>
          <w:ilvl w:val="0"/>
          <w:numId w:val="22"/>
        </w:numPr>
        <w:autoSpaceDE w:val="0"/>
        <w:autoSpaceDN w:val="0"/>
        <w:adjustRightInd w:val="0"/>
        <w:spacing w:after="0" w:line="260" w:lineRule="atLeast"/>
        <w:textAlignment w:val="center"/>
        <w:rPr>
          <w:rFonts w:ascii="Titillium Web" w:hAnsi="Titillium Web" w:cs="Titillium Web"/>
          <w:color w:val="000000"/>
          <w:sz w:val="20"/>
          <w:szCs w:val="20"/>
        </w:rPr>
      </w:pPr>
      <w:r w:rsidRPr="004909B0">
        <w:rPr>
          <w:rFonts w:ascii="Titillium Web" w:hAnsi="Titillium Web" w:cs="Titillium Web"/>
          <w:color w:val="000000"/>
          <w:sz w:val="20"/>
          <w:szCs w:val="20"/>
        </w:rPr>
        <w:t>Inkl. Stromkabel 10 m</w:t>
      </w:r>
    </w:p>
    <w:p w14:paraId="208E8065" w14:textId="5AB2B2BB" w:rsidR="004909B0" w:rsidRPr="004909B0" w:rsidRDefault="004909B0" w:rsidP="004909B0">
      <w:pPr>
        <w:pStyle w:val="Listenabsatz"/>
        <w:numPr>
          <w:ilvl w:val="0"/>
          <w:numId w:val="22"/>
        </w:numPr>
        <w:autoSpaceDE w:val="0"/>
        <w:autoSpaceDN w:val="0"/>
        <w:adjustRightInd w:val="0"/>
        <w:spacing w:after="0" w:line="260" w:lineRule="atLeast"/>
        <w:textAlignment w:val="center"/>
        <w:rPr>
          <w:rFonts w:ascii="Titillium Web" w:hAnsi="Titillium Web" w:cs="Titillium Web"/>
          <w:color w:val="000000"/>
          <w:sz w:val="20"/>
          <w:szCs w:val="20"/>
        </w:rPr>
      </w:pPr>
      <w:r w:rsidRPr="004909B0">
        <w:rPr>
          <w:rFonts w:ascii="Titillium Web" w:hAnsi="Titillium Web" w:cs="Titillium Web"/>
          <w:color w:val="000000"/>
          <w:sz w:val="20"/>
          <w:szCs w:val="20"/>
        </w:rPr>
        <w:t>Taggenaue Abrechnung nach Ablauf der Wochengrundmiete</w:t>
      </w:r>
    </w:p>
    <w:p w14:paraId="0E41FA84" w14:textId="57C7D437" w:rsidR="00103106" w:rsidRPr="004909B0" w:rsidRDefault="004909B0" w:rsidP="004909B0">
      <w:pPr>
        <w:pStyle w:val="Listenabsatz"/>
        <w:numPr>
          <w:ilvl w:val="0"/>
          <w:numId w:val="22"/>
        </w:numPr>
        <w:spacing w:line="240" w:lineRule="auto"/>
        <w:rPr>
          <w:rFonts w:ascii="Titillium Web" w:hAnsi="Titillium Web"/>
          <w:sz w:val="20"/>
          <w:szCs w:val="20"/>
        </w:rPr>
      </w:pPr>
      <w:r w:rsidRPr="004909B0">
        <w:rPr>
          <w:rFonts w:ascii="Titillium Web" w:hAnsi="Titillium Web" w:cs="Titillium Web"/>
          <w:color w:val="000000"/>
          <w:sz w:val="20"/>
          <w:szCs w:val="20"/>
        </w:rPr>
        <w:t xml:space="preserve">Anliefertag und Abmeldetag werden als </w:t>
      </w:r>
      <w:proofErr w:type="spellStart"/>
      <w:r w:rsidRPr="004909B0">
        <w:rPr>
          <w:rFonts w:ascii="Titillium Web" w:hAnsi="Titillium Web" w:cs="Titillium Web"/>
          <w:color w:val="000000"/>
          <w:sz w:val="20"/>
          <w:szCs w:val="20"/>
        </w:rPr>
        <w:t>Miettag</w:t>
      </w:r>
      <w:proofErr w:type="spellEnd"/>
      <w:r w:rsidRPr="004909B0">
        <w:rPr>
          <w:rFonts w:ascii="Titillium Web" w:hAnsi="Titillium Web" w:cs="Titillium Web"/>
          <w:color w:val="000000"/>
          <w:sz w:val="20"/>
          <w:szCs w:val="20"/>
        </w:rPr>
        <w:t xml:space="preserve"> berechnet!</w:t>
      </w:r>
    </w:p>
    <w:p w14:paraId="282538F8" w14:textId="77777777" w:rsidR="004909B0" w:rsidRPr="004909B0" w:rsidRDefault="004909B0" w:rsidP="004909B0">
      <w:pPr>
        <w:pStyle w:val="Listenabsatz"/>
        <w:spacing w:line="240" w:lineRule="auto"/>
        <w:rPr>
          <w:rFonts w:ascii="Titillium Web" w:hAnsi="Titillium Web"/>
          <w:sz w:val="20"/>
          <w:szCs w:val="20"/>
        </w:rPr>
      </w:pPr>
    </w:p>
    <w:tbl>
      <w:tblPr>
        <w:tblStyle w:val="Tabellenraster"/>
        <w:tblW w:w="0" w:type="auto"/>
        <w:tblInd w:w="360" w:type="dxa"/>
        <w:tblLook w:val="04A0" w:firstRow="1" w:lastRow="0" w:firstColumn="1" w:lastColumn="0" w:noHBand="0" w:noVBand="1"/>
      </w:tblPr>
      <w:tblGrid>
        <w:gridCol w:w="4990"/>
        <w:gridCol w:w="1743"/>
        <w:gridCol w:w="1970"/>
      </w:tblGrid>
      <w:tr w:rsidR="00196C33" w:rsidRPr="004A4EEA" w14:paraId="165D7BB8" w14:textId="77777777" w:rsidTr="00EE7642">
        <w:tc>
          <w:tcPr>
            <w:tcW w:w="4990" w:type="dxa"/>
            <w:vAlign w:val="center"/>
          </w:tcPr>
          <w:p w14:paraId="403F21E4" w14:textId="299DDE50" w:rsidR="00196C33" w:rsidRPr="008165DD" w:rsidRDefault="00DB6618" w:rsidP="00D610BC">
            <w:pPr>
              <w:autoSpaceDE w:val="0"/>
              <w:autoSpaceDN w:val="0"/>
              <w:adjustRightInd w:val="0"/>
              <w:spacing w:line="288" w:lineRule="auto"/>
              <w:textAlignment w:val="center"/>
              <w:rPr>
                <w:rFonts w:ascii="Titillium Web" w:hAnsi="Titillium Web" w:cs="Titillium Web"/>
                <w:color w:val="000000"/>
                <w:sz w:val="20"/>
                <w:szCs w:val="20"/>
              </w:rPr>
            </w:pPr>
            <w:r w:rsidRPr="00DB6618">
              <w:rPr>
                <w:rFonts w:ascii="Titillium Web" w:hAnsi="Titillium Web" w:cs="Titillium Web"/>
                <w:color w:val="000000"/>
                <w:sz w:val="20"/>
                <w:szCs w:val="20"/>
              </w:rPr>
              <w:t xml:space="preserve">Mobiler Kaltwassersatz </w:t>
            </w:r>
            <w:r w:rsidR="004909B0">
              <w:rPr>
                <w:rFonts w:ascii="Titillium Web" w:hAnsi="Titillium Web" w:cs="Titillium Web"/>
                <w:color w:val="000000"/>
                <w:sz w:val="20"/>
                <w:szCs w:val="20"/>
              </w:rPr>
              <w:t>80</w:t>
            </w:r>
            <w:r w:rsidR="00103106">
              <w:rPr>
                <w:rFonts w:ascii="Titillium Web" w:hAnsi="Titillium Web" w:cs="Titillium Web"/>
                <w:color w:val="000000"/>
                <w:sz w:val="20"/>
                <w:szCs w:val="20"/>
              </w:rPr>
              <w:t>/</w:t>
            </w:r>
            <w:r w:rsidR="004909B0">
              <w:rPr>
                <w:rFonts w:ascii="Titillium Web" w:hAnsi="Titillium Web" w:cs="Titillium Web"/>
                <w:color w:val="000000"/>
                <w:sz w:val="20"/>
                <w:szCs w:val="20"/>
              </w:rPr>
              <w:t>15</w:t>
            </w:r>
            <w:r w:rsidR="00103106">
              <w:rPr>
                <w:rFonts w:ascii="Titillium Web" w:hAnsi="Titillium Web" w:cs="Titillium Web"/>
                <w:color w:val="000000"/>
                <w:sz w:val="20"/>
                <w:szCs w:val="20"/>
              </w:rPr>
              <w:t>0 k</w:t>
            </w:r>
            <w:r w:rsidRPr="00DB6618">
              <w:rPr>
                <w:rFonts w:ascii="Titillium Web" w:hAnsi="Titillium Web" w:cs="Titillium Web"/>
                <w:color w:val="000000"/>
                <w:sz w:val="20"/>
                <w:szCs w:val="20"/>
              </w:rPr>
              <w:t>W</w:t>
            </w:r>
          </w:p>
        </w:tc>
        <w:tc>
          <w:tcPr>
            <w:tcW w:w="3713" w:type="dxa"/>
            <w:gridSpan w:val="2"/>
            <w:vAlign w:val="center"/>
          </w:tcPr>
          <w:p w14:paraId="21E62D1D" w14:textId="30CCBDE0" w:rsidR="00196C33" w:rsidRPr="008165DD" w:rsidRDefault="00DB6618" w:rsidP="00D610BC">
            <w:pPr>
              <w:autoSpaceDE w:val="0"/>
              <w:autoSpaceDN w:val="0"/>
              <w:adjustRightInd w:val="0"/>
              <w:spacing w:line="288" w:lineRule="auto"/>
              <w:textAlignment w:val="center"/>
              <w:rPr>
                <w:rFonts w:ascii="Titillium Web" w:hAnsi="Titillium Web" w:cs="Titillium Web"/>
                <w:color w:val="000000"/>
                <w:sz w:val="20"/>
                <w:szCs w:val="20"/>
              </w:rPr>
            </w:pPr>
            <w:r w:rsidRPr="00DB6618">
              <w:rPr>
                <w:rFonts w:ascii="Titillium Web" w:hAnsi="Titillium Web" w:cs="Titillium Web"/>
                <w:color w:val="000000"/>
                <w:sz w:val="20"/>
                <w:szCs w:val="20"/>
              </w:rPr>
              <w:t xml:space="preserve">RG DL </w:t>
            </w:r>
            <w:r w:rsidR="004909B0">
              <w:rPr>
                <w:rFonts w:ascii="Titillium Web" w:hAnsi="Titillium Web" w:cs="Titillium Web"/>
                <w:color w:val="000000"/>
                <w:sz w:val="20"/>
                <w:szCs w:val="20"/>
              </w:rPr>
              <w:t>Mittel</w:t>
            </w:r>
            <w:r w:rsidRPr="00DB6618">
              <w:rPr>
                <w:rFonts w:ascii="Titillium Web" w:hAnsi="Titillium Web" w:cs="Titillium Web"/>
                <w:color w:val="000000"/>
                <w:sz w:val="20"/>
                <w:szCs w:val="20"/>
              </w:rPr>
              <w:t xml:space="preserve"> </w:t>
            </w:r>
            <w:r w:rsidR="004909B0">
              <w:rPr>
                <w:rFonts w:ascii="Titillium Web" w:hAnsi="Titillium Web" w:cs="Titillium Web"/>
                <w:color w:val="000000"/>
                <w:sz w:val="20"/>
                <w:szCs w:val="20"/>
              </w:rPr>
              <w:t>ab</w:t>
            </w:r>
            <w:r w:rsidRPr="00DB6618">
              <w:rPr>
                <w:rFonts w:ascii="Titillium Web" w:hAnsi="Titillium Web" w:cs="Titillium Web"/>
                <w:color w:val="000000"/>
                <w:sz w:val="20"/>
                <w:szCs w:val="20"/>
              </w:rPr>
              <w:t xml:space="preserve"> 1</w:t>
            </w:r>
            <w:r w:rsidR="004909B0">
              <w:rPr>
                <w:rFonts w:ascii="Titillium Web" w:hAnsi="Titillium Web" w:cs="Titillium Web"/>
                <w:color w:val="000000"/>
                <w:sz w:val="20"/>
                <w:szCs w:val="20"/>
              </w:rPr>
              <w:t>3</w:t>
            </w:r>
            <w:r w:rsidRPr="00DB6618">
              <w:rPr>
                <w:rFonts w:ascii="Titillium Web" w:hAnsi="Titillium Web" w:cs="Titillium Web"/>
                <w:color w:val="000000"/>
                <w:sz w:val="20"/>
                <w:szCs w:val="20"/>
              </w:rPr>
              <w:t>0 kW</w:t>
            </w:r>
            <w:r w:rsidR="004909B0">
              <w:rPr>
                <w:rFonts w:ascii="Titillium Web" w:hAnsi="Titillium Web" w:cs="Titillium Web"/>
                <w:color w:val="000000"/>
                <w:sz w:val="20"/>
                <w:szCs w:val="20"/>
              </w:rPr>
              <w:t xml:space="preserve"> bis 350 kW</w:t>
            </w:r>
          </w:p>
        </w:tc>
      </w:tr>
      <w:tr w:rsidR="008C06DB" w:rsidRPr="004A4EEA" w14:paraId="7EBC35C6" w14:textId="77777777" w:rsidTr="00EE7642">
        <w:tc>
          <w:tcPr>
            <w:tcW w:w="4990" w:type="dxa"/>
          </w:tcPr>
          <w:p w14:paraId="35C298E8" w14:textId="56668C7E" w:rsidR="008C06DB" w:rsidRPr="008165DD" w:rsidRDefault="00017326" w:rsidP="008D1F91">
            <w:pPr>
              <w:rPr>
                <w:rFonts w:ascii="Titillium Web" w:hAnsi="Titillium Web"/>
                <w:sz w:val="20"/>
                <w:szCs w:val="20"/>
              </w:rPr>
            </w:pPr>
            <w:r w:rsidRPr="008165DD">
              <w:rPr>
                <w:rFonts w:ascii="Titillium Web" w:hAnsi="Titillium Web"/>
                <w:sz w:val="20"/>
                <w:szCs w:val="20"/>
              </w:rPr>
              <w:t>Mietkonditionen</w:t>
            </w:r>
          </w:p>
        </w:tc>
        <w:tc>
          <w:tcPr>
            <w:tcW w:w="1743" w:type="dxa"/>
          </w:tcPr>
          <w:p w14:paraId="0570D66D" w14:textId="216B7C5F" w:rsidR="008C06DB" w:rsidRPr="008165DD" w:rsidRDefault="007367D9" w:rsidP="008D1F91">
            <w:pPr>
              <w:rPr>
                <w:rFonts w:ascii="Titillium Web" w:hAnsi="Titillium Web"/>
                <w:sz w:val="20"/>
                <w:szCs w:val="20"/>
              </w:rPr>
            </w:pPr>
            <w:r w:rsidRPr="008165DD">
              <w:rPr>
                <w:rFonts w:ascii="Titillium Web" w:hAnsi="Titillium Web"/>
                <w:sz w:val="20"/>
                <w:szCs w:val="20"/>
              </w:rPr>
              <w:t>Artikel-Nr.</w:t>
            </w:r>
          </w:p>
        </w:tc>
        <w:tc>
          <w:tcPr>
            <w:tcW w:w="1970" w:type="dxa"/>
          </w:tcPr>
          <w:p w14:paraId="54DEB46A" w14:textId="00EBE54B" w:rsidR="008C06DB" w:rsidRPr="008165DD" w:rsidRDefault="007367D9" w:rsidP="008D1F91">
            <w:pPr>
              <w:rPr>
                <w:rFonts w:ascii="Titillium Web" w:hAnsi="Titillium Web"/>
                <w:sz w:val="20"/>
                <w:szCs w:val="20"/>
              </w:rPr>
            </w:pPr>
            <w:r w:rsidRPr="008165DD">
              <w:rPr>
                <w:rFonts w:ascii="Titillium Web" w:hAnsi="Titillium Web"/>
                <w:sz w:val="20"/>
                <w:szCs w:val="20"/>
              </w:rPr>
              <w:t>Preis netto EUR</w:t>
            </w:r>
          </w:p>
        </w:tc>
      </w:tr>
      <w:tr w:rsidR="004909B0" w:rsidRPr="004A4EEA" w14:paraId="641F27A3" w14:textId="3E15F382" w:rsidTr="00EE7642">
        <w:tc>
          <w:tcPr>
            <w:tcW w:w="4990" w:type="dxa"/>
            <w:vAlign w:val="center"/>
          </w:tcPr>
          <w:p w14:paraId="3055BC22" w14:textId="47395415" w:rsidR="004909B0" w:rsidRPr="004909B0" w:rsidRDefault="004909B0" w:rsidP="004909B0">
            <w:pPr>
              <w:pStyle w:val="EinfAbs"/>
              <w:rPr>
                <w:rFonts w:ascii="Titillium Web" w:hAnsi="Titillium Web" w:cs="Titillium Web"/>
                <w:sz w:val="20"/>
                <w:szCs w:val="20"/>
              </w:rPr>
            </w:pPr>
            <w:r w:rsidRPr="004909B0">
              <w:rPr>
                <w:rStyle w:val="Taballe-Text"/>
                <w:rFonts w:ascii="Titillium Web" w:hAnsi="Titillium Web" w:cs="Titillium Web"/>
                <w:sz w:val="20"/>
                <w:szCs w:val="20"/>
              </w:rPr>
              <w:t>Wochengrundmiete (7 Tage), inklusive Transport</w:t>
            </w:r>
          </w:p>
        </w:tc>
        <w:tc>
          <w:tcPr>
            <w:tcW w:w="1743" w:type="dxa"/>
            <w:vAlign w:val="center"/>
          </w:tcPr>
          <w:p w14:paraId="2AF9082C" w14:textId="3A062D52"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Fonts w:ascii="Titillium Web" w:hAnsi="Titillium Web" w:cs="Titillium Web"/>
                <w:sz w:val="20"/>
                <w:szCs w:val="20"/>
              </w:rPr>
              <w:t>MC150V</w:t>
            </w:r>
          </w:p>
        </w:tc>
        <w:tc>
          <w:tcPr>
            <w:tcW w:w="1970" w:type="dxa"/>
            <w:vAlign w:val="center"/>
          </w:tcPr>
          <w:p w14:paraId="6B2BA5CE" w14:textId="5CB69EC0"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elle-Hervorhebungschwarz"/>
                <w:rFonts w:ascii="Titillium Web" w:hAnsi="Titillium Web" w:cs="Titillium Web"/>
                <w:b w:val="0"/>
                <w:bCs w:val="0"/>
                <w:sz w:val="20"/>
                <w:szCs w:val="20"/>
              </w:rPr>
              <w:t> 2.374,00</w:t>
            </w:r>
          </w:p>
        </w:tc>
      </w:tr>
      <w:tr w:rsidR="004909B0" w:rsidRPr="004A4EEA" w14:paraId="360B0D42" w14:textId="0484B90A" w:rsidTr="00EE7642">
        <w:tc>
          <w:tcPr>
            <w:tcW w:w="4990" w:type="dxa"/>
            <w:vAlign w:val="center"/>
          </w:tcPr>
          <w:p w14:paraId="1A407667" w14:textId="273A7FA6"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Mietverlängerungstag (ab dem 8. Tag)</w:t>
            </w:r>
          </w:p>
        </w:tc>
        <w:tc>
          <w:tcPr>
            <w:tcW w:w="1743" w:type="dxa"/>
            <w:vAlign w:val="center"/>
          </w:tcPr>
          <w:p w14:paraId="607B12F9" w14:textId="4DBAB5A2"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MC150VT</w:t>
            </w:r>
          </w:p>
        </w:tc>
        <w:tc>
          <w:tcPr>
            <w:tcW w:w="1970" w:type="dxa"/>
            <w:vAlign w:val="center"/>
          </w:tcPr>
          <w:p w14:paraId="72BB6901" w14:textId="63EADCFD"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elle-Hervorhebungschwarz"/>
                <w:rFonts w:ascii="Titillium Web" w:hAnsi="Titillium Web" w:cs="Titillium Web"/>
                <w:b w:val="0"/>
                <w:bCs w:val="0"/>
                <w:sz w:val="20"/>
                <w:szCs w:val="20"/>
              </w:rPr>
              <w:t> 135,00</w:t>
            </w:r>
          </w:p>
        </w:tc>
      </w:tr>
      <w:tr w:rsidR="004909B0" w:rsidRPr="004A4EEA" w14:paraId="2BF1FAF3" w14:textId="77777777" w:rsidTr="00EE7642">
        <w:tc>
          <w:tcPr>
            <w:tcW w:w="4990" w:type="dxa"/>
            <w:vAlign w:val="center"/>
          </w:tcPr>
          <w:p w14:paraId="0951DB22" w14:textId="05197F7D"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Monatsgrundmiete (30 Tage), inklusive Transport</w:t>
            </w:r>
          </w:p>
        </w:tc>
        <w:tc>
          <w:tcPr>
            <w:tcW w:w="1743" w:type="dxa"/>
            <w:vAlign w:val="center"/>
          </w:tcPr>
          <w:p w14:paraId="2450543C" w14:textId="3692ADAB"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Fonts w:ascii="Titillium Web" w:hAnsi="Titillium Web" w:cs="Titillium Web"/>
                <w:sz w:val="20"/>
                <w:szCs w:val="20"/>
              </w:rPr>
              <w:t>MC150VM</w:t>
            </w:r>
          </w:p>
        </w:tc>
        <w:tc>
          <w:tcPr>
            <w:tcW w:w="1970" w:type="dxa"/>
            <w:vAlign w:val="center"/>
          </w:tcPr>
          <w:p w14:paraId="38BC5412" w14:textId="64EA6EB1"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elle-Hervorhebungschwarz"/>
                <w:rFonts w:ascii="Titillium Web" w:hAnsi="Titillium Web" w:cs="Titillium Web"/>
                <w:b w:val="0"/>
                <w:bCs w:val="0"/>
                <w:sz w:val="20"/>
                <w:szCs w:val="20"/>
              </w:rPr>
              <w:t> 4.979,00</w:t>
            </w:r>
          </w:p>
        </w:tc>
      </w:tr>
      <w:tr w:rsidR="004909B0" w:rsidRPr="004A4EEA" w14:paraId="0FC36BEE" w14:textId="77777777" w:rsidTr="00EE7642">
        <w:tc>
          <w:tcPr>
            <w:tcW w:w="4990" w:type="dxa"/>
            <w:vAlign w:val="center"/>
          </w:tcPr>
          <w:p w14:paraId="527CF94D" w14:textId="342B1AA1"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Mietverlängerungstag (ab dem 31. Tag)</w:t>
            </w:r>
          </w:p>
        </w:tc>
        <w:tc>
          <w:tcPr>
            <w:tcW w:w="1743" w:type="dxa"/>
            <w:vAlign w:val="center"/>
          </w:tcPr>
          <w:p w14:paraId="1F74E554" w14:textId="1E975344"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MC150VT31</w:t>
            </w:r>
          </w:p>
        </w:tc>
        <w:tc>
          <w:tcPr>
            <w:tcW w:w="1970" w:type="dxa"/>
            <w:vAlign w:val="center"/>
          </w:tcPr>
          <w:p w14:paraId="628E7FA3" w14:textId="02DDAF2E"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elle-Hervorhebungschwarz"/>
                <w:rFonts w:ascii="Titillium Web" w:hAnsi="Titillium Web" w:cs="Titillium Web"/>
                <w:b w:val="0"/>
                <w:bCs w:val="0"/>
                <w:sz w:val="20"/>
                <w:szCs w:val="20"/>
              </w:rPr>
              <w:t>125,00</w:t>
            </w:r>
          </w:p>
        </w:tc>
      </w:tr>
      <w:tr w:rsidR="004909B0" w:rsidRPr="004A4EEA" w14:paraId="0EE09E88" w14:textId="77777777" w:rsidTr="00EE7642">
        <w:tc>
          <w:tcPr>
            <w:tcW w:w="4990" w:type="dxa"/>
            <w:vAlign w:val="center"/>
          </w:tcPr>
          <w:p w14:paraId="01BC85F3" w14:textId="540C6D3C"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18"/>
                <w:szCs w:val="18"/>
              </w:rPr>
            </w:pPr>
            <w:r w:rsidRPr="004909B0">
              <w:rPr>
                <w:rStyle w:val="Taballe-Text"/>
                <w:rFonts w:ascii="Titillium Web" w:hAnsi="Titillium Web" w:cs="Titillium Web"/>
                <w:sz w:val="20"/>
                <w:szCs w:val="20"/>
              </w:rPr>
              <w:t>Mietverlängerungstag (ab dem 121. Tag)</w:t>
            </w:r>
          </w:p>
        </w:tc>
        <w:tc>
          <w:tcPr>
            <w:tcW w:w="1743" w:type="dxa"/>
            <w:vAlign w:val="center"/>
          </w:tcPr>
          <w:p w14:paraId="386B7845" w14:textId="2C391A66" w:rsidR="004909B0" w:rsidRPr="004909B0" w:rsidRDefault="004909B0" w:rsidP="004909B0">
            <w:pPr>
              <w:autoSpaceDE w:val="0"/>
              <w:autoSpaceDN w:val="0"/>
              <w:adjustRightInd w:val="0"/>
              <w:spacing w:line="288" w:lineRule="auto"/>
              <w:textAlignment w:val="center"/>
              <w:rPr>
                <w:rStyle w:val="Taballe-Text"/>
                <w:rFonts w:ascii="Titillium Web" w:hAnsi="Titillium Web" w:cs="Titillium Web"/>
                <w:sz w:val="20"/>
                <w:szCs w:val="20"/>
              </w:rPr>
            </w:pPr>
            <w:r w:rsidRPr="004909B0">
              <w:rPr>
                <w:rStyle w:val="Taballe-Text"/>
                <w:rFonts w:ascii="Titillium Web" w:hAnsi="Titillium Web" w:cs="Titillium Web"/>
                <w:sz w:val="20"/>
                <w:szCs w:val="20"/>
              </w:rPr>
              <w:t>MC150VT121</w:t>
            </w:r>
          </w:p>
        </w:tc>
        <w:tc>
          <w:tcPr>
            <w:tcW w:w="1970" w:type="dxa"/>
            <w:vAlign w:val="center"/>
          </w:tcPr>
          <w:p w14:paraId="0DF1C35E" w14:textId="65E5C49B" w:rsidR="004909B0" w:rsidRPr="004909B0" w:rsidRDefault="004909B0" w:rsidP="004909B0">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4909B0">
              <w:rPr>
                <w:rStyle w:val="Tabelle-Hervorhebungschwarz"/>
                <w:rFonts w:ascii="Titillium Web" w:hAnsi="Titillium Web" w:cs="Titillium Web"/>
                <w:b w:val="0"/>
                <w:bCs w:val="0"/>
                <w:sz w:val="20"/>
                <w:szCs w:val="20"/>
              </w:rPr>
              <w:t> 115,00</w:t>
            </w:r>
          </w:p>
        </w:tc>
      </w:tr>
      <w:tr w:rsidR="004909B0" w:rsidRPr="004A4EEA" w14:paraId="0C7A28E6" w14:textId="77777777" w:rsidTr="00EE7642">
        <w:tc>
          <w:tcPr>
            <w:tcW w:w="4990" w:type="dxa"/>
            <w:vAlign w:val="center"/>
          </w:tcPr>
          <w:p w14:paraId="53168D5B" w14:textId="353FFD70"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18"/>
                <w:szCs w:val="18"/>
              </w:rPr>
            </w:pPr>
            <w:r w:rsidRPr="004909B0">
              <w:rPr>
                <w:rStyle w:val="Taballe-Text"/>
                <w:rFonts w:ascii="Titillium Web" w:hAnsi="Titillium Web" w:cs="Titillium Web"/>
                <w:sz w:val="20"/>
                <w:szCs w:val="20"/>
              </w:rPr>
              <w:t>Mietverlängerungstag (ab dem 181. Tag)</w:t>
            </w:r>
          </w:p>
        </w:tc>
        <w:tc>
          <w:tcPr>
            <w:tcW w:w="1743" w:type="dxa"/>
            <w:vAlign w:val="center"/>
          </w:tcPr>
          <w:p w14:paraId="2339CCE7" w14:textId="2981DC87" w:rsidR="004909B0" w:rsidRPr="004909B0" w:rsidRDefault="004909B0" w:rsidP="004909B0">
            <w:pPr>
              <w:autoSpaceDE w:val="0"/>
              <w:autoSpaceDN w:val="0"/>
              <w:adjustRightInd w:val="0"/>
              <w:spacing w:line="288" w:lineRule="auto"/>
              <w:textAlignment w:val="center"/>
              <w:rPr>
                <w:rStyle w:val="Taballe-Text"/>
                <w:rFonts w:ascii="Titillium Web" w:hAnsi="Titillium Web" w:cs="Titillium Web"/>
                <w:sz w:val="20"/>
                <w:szCs w:val="20"/>
              </w:rPr>
            </w:pPr>
            <w:r w:rsidRPr="004909B0">
              <w:rPr>
                <w:rStyle w:val="Taballe-Text"/>
                <w:rFonts w:ascii="Titillium Web" w:hAnsi="Titillium Web" w:cs="Titillium Web"/>
                <w:sz w:val="20"/>
                <w:szCs w:val="20"/>
              </w:rPr>
              <w:t>MC150VT181</w:t>
            </w:r>
          </w:p>
        </w:tc>
        <w:tc>
          <w:tcPr>
            <w:tcW w:w="1970" w:type="dxa"/>
            <w:vAlign w:val="center"/>
          </w:tcPr>
          <w:p w14:paraId="7B768285" w14:textId="7947B2E0" w:rsidR="004909B0" w:rsidRPr="004909B0" w:rsidRDefault="004909B0" w:rsidP="004909B0">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4909B0">
              <w:rPr>
                <w:rStyle w:val="Tabelle-Hervorhebungschwarz"/>
                <w:rFonts w:ascii="Titillium Web" w:hAnsi="Titillium Web" w:cs="Titillium Web"/>
                <w:b w:val="0"/>
                <w:bCs w:val="0"/>
                <w:sz w:val="20"/>
                <w:szCs w:val="20"/>
              </w:rPr>
              <w:t> 106,00</w:t>
            </w:r>
          </w:p>
        </w:tc>
      </w:tr>
      <w:tr w:rsidR="004909B0" w:rsidRPr="004A4EEA" w14:paraId="07690DEF" w14:textId="77777777" w:rsidTr="00EE7642">
        <w:tc>
          <w:tcPr>
            <w:tcW w:w="4990" w:type="dxa"/>
            <w:vAlign w:val="center"/>
          </w:tcPr>
          <w:p w14:paraId="1DD8FC8C" w14:textId="57D00AF7"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18"/>
                <w:szCs w:val="18"/>
              </w:rPr>
            </w:pPr>
            <w:r w:rsidRPr="004909B0">
              <w:rPr>
                <w:rStyle w:val="Taballe-Text"/>
                <w:rFonts w:ascii="Titillium Web" w:hAnsi="Titillium Web" w:cs="Titillium Web"/>
                <w:sz w:val="20"/>
                <w:szCs w:val="20"/>
              </w:rPr>
              <w:t>Anschluss und Inbetriebnahme (IBN) mobiheat</w:t>
            </w:r>
          </w:p>
        </w:tc>
        <w:tc>
          <w:tcPr>
            <w:tcW w:w="1743" w:type="dxa"/>
            <w:vAlign w:val="center"/>
          </w:tcPr>
          <w:p w14:paraId="285D394A" w14:textId="61A582C5" w:rsidR="004909B0" w:rsidRPr="004909B0" w:rsidRDefault="004909B0" w:rsidP="004909B0">
            <w:pPr>
              <w:autoSpaceDE w:val="0"/>
              <w:autoSpaceDN w:val="0"/>
              <w:adjustRightInd w:val="0"/>
              <w:spacing w:line="288" w:lineRule="auto"/>
              <w:textAlignment w:val="center"/>
              <w:rPr>
                <w:rStyle w:val="Taballe-Text"/>
                <w:rFonts w:ascii="Titillium Web" w:hAnsi="Titillium Web" w:cs="Titillium Web"/>
                <w:sz w:val="20"/>
                <w:szCs w:val="20"/>
              </w:rPr>
            </w:pPr>
            <w:r w:rsidRPr="004909B0">
              <w:rPr>
                <w:rStyle w:val="Taballe-Text"/>
                <w:rFonts w:ascii="Titillium Web" w:hAnsi="Titillium Web" w:cs="Titillium Web"/>
                <w:sz w:val="20"/>
                <w:szCs w:val="20"/>
              </w:rPr>
              <w:t>MCIBN150</w:t>
            </w:r>
          </w:p>
        </w:tc>
        <w:tc>
          <w:tcPr>
            <w:tcW w:w="1970" w:type="dxa"/>
            <w:vAlign w:val="center"/>
          </w:tcPr>
          <w:p w14:paraId="1B6B88BA" w14:textId="225924F9" w:rsidR="004909B0" w:rsidRPr="004909B0" w:rsidRDefault="004909B0" w:rsidP="004909B0">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4909B0">
              <w:rPr>
                <w:rStyle w:val="Tabelle-Hervorhebungschwarz"/>
                <w:rFonts w:ascii="Titillium Web" w:hAnsi="Titillium Web" w:cs="Titillium Web"/>
                <w:b w:val="0"/>
                <w:bCs w:val="0"/>
                <w:sz w:val="20"/>
                <w:szCs w:val="20"/>
              </w:rPr>
              <w:t> 2.616,00</w:t>
            </w:r>
          </w:p>
        </w:tc>
      </w:tr>
      <w:tr w:rsidR="007367D9" w:rsidRPr="004A4EEA" w14:paraId="25B06664" w14:textId="77777777" w:rsidTr="00641C7A">
        <w:tc>
          <w:tcPr>
            <w:tcW w:w="8703" w:type="dxa"/>
            <w:gridSpan w:val="3"/>
          </w:tcPr>
          <w:p w14:paraId="388A1E12" w14:textId="78CCC9B6" w:rsidR="007367D9" w:rsidRPr="008165DD" w:rsidRDefault="007367D9" w:rsidP="0054389C">
            <w:pPr>
              <w:rPr>
                <w:rFonts w:ascii="Titillium Web" w:hAnsi="Titillium Web"/>
                <w:sz w:val="10"/>
                <w:szCs w:val="10"/>
              </w:rPr>
            </w:pPr>
          </w:p>
        </w:tc>
      </w:tr>
      <w:tr w:rsidR="00EE7642" w:rsidRPr="004A4EEA" w14:paraId="62FFB92A" w14:textId="77777777" w:rsidTr="00EE7642">
        <w:tc>
          <w:tcPr>
            <w:tcW w:w="4990" w:type="dxa"/>
            <w:vAlign w:val="center"/>
          </w:tcPr>
          <w:p w14:paraId="012CC988" w14:textId="6DCAD3A6" w:rsidR="00EE7642" w:rsidRPr="008165DD" w:rsidRDefault="00EE7642" w:rsidP="00D610BC">
            <w:pPr>
              <w:autoSpaceDE w:val="0"/>
              <w:autoSpaceDN w:val="0"/>
              <w:adjustRightInd w:val="0"/>
              <w:spacing w:line="288" w:lineRule="auto"/>
              <w:textAlignment w:val="center"/>
              <w:rPr>
                <w:rFonts w:ascii="Titillium Web" w:hAnsi="Titillium Web" w:cs="Titillium Web"/>
                <w:color w:val="000000"/>
                <w:sz w:val="20"/>
                <w:szCs w:val="20"/>
              </w:rPr>
            </w:pPr>
            <w:r w:rsidRPr="00D610BC">
              <w:rPr>
                <w:rFonts w:ascii="Titillium Web" w:hAnsi="Titillium Web" w:cs="Titillium Web"/>
                <w:color w:val="000000"/>
                <w:sz w:val="20"/>
                <w:szCs w:val="20"/>
              </w:rPr>
              <w:t xml:space="preserve">Zubehör </w:t>
            </w:r>
          </w:p>
        </w:tc>
        <w:tc>
          <w:tcPr>
            <w:tcW w:w="3713" w:type="dxa"/>
            <w:gridSpan w:val="2"/>
            <w:vAlign w:val="center"/>
          </w:tcPr>
          <w:p w14:paraId="5382FBB9" w14:textId="13F90F53" w:rsidR="00EE7642" w:rsidRPr="00EE7642" w:rsidRDefault="00EE7642" w:rsidP="004A4EEA">
            <w:pPr>
              <w:rPr>
                <w:rFonts w:ascii="Titillium Web" w:hAnsi="Titillium Web"/>
                <w:sz w:val="20"/>
                <w:szCs w:val="20"/>
              </w:rPr>
            </w:pPr>
            <w:r w:rsidRPr="00EE7642">
              <w:rPr>
                <w:rFonts w:ascii="Titillium Web" w:hAnsi="Titillium Web"/>
                <w:sz w:val="20"/>
                <w:szCs w:val="20"/>
              </w:rPr>
              <w:t>RG DL Zubehör</w:t>
            </w:r>
          </w:p>
        </w:tc>
      </w:tr>
      <w:tr w:rsidR="004909B0" w:rsidRPr="004A4EEA" w14:paraId="46C5DD63" w14:textId="77777777" w:rsidTr="00EE7642">
        <w:tc>
          <w:tcPr>
            <w:tcW w:w="4990" w:type="dxa"/>
            <w:vAlign w:val="center"/>
          </w:tcPr>
          <w:p w14:paraId="5A443030" w14:textId="005CA783" w:rsidR="004909B0" w:rsidRPr="004909B0" w:rsidRDefault="004909B0" w:rsidP="004909B0">
            <w:pPr>
              <w:autoSpaceDE w:val="0"/>
              <w:autoSpaceDN w:val="0"/>
              <w:adjustRightInd w:val="0"/>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Verlängerung Anbindeleitung Edelstahl VL/RL, je 10 m (Pauschale für 7 Tage)</w:t>
            </w:r>
          </w:p>
        </w:tc>
        <w:tc>
          <w:tcPr>
            <w:tcW w:w="1743" w:type="dxa"/>
            <w:vAlign w:val="center"/>
          </w:tcPr>
          <w:p w14:paraId="04F97AC2" w14:textId="082C23BF"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MCABLED20007</w:t>
            </w:r>
          </w:p>
        </w:tc>
        <w:tc>
          <w:tcPr>
            <w:tcW w:w="1970" w:type="dxa"/>
            <w:vAlign w:val="center"/>
          </w:tcPr>
          <w:p w14:paraId="71E7055E" w14:textId="37EF7F90" w:rsidR="004909B0" w:rsidRPr="004909B0" w:rsidRDefault="004909B0" w:rsidP="004909B0">
            <w:pPr>
              <w:rPr>
                <w:rFonts w:ascii="Titillium Web" w:hAnsi="Titillium Web"/>
                <w:sz w:val="20"/>
                <w:szCs w:val="20"/>
              </w:rPr>
            </w:pPr>
            <w:r w:rsidRPr="004909B0">
              <w:rPr>
                <w:rStyle w:val="Tabelle-Hervorhebungschwarz"/>
                <w:rFonts w:ascii="Titillium Web" w:hAnsi="Titillium Web" w:cs="Titillium Web"/>
                <w:b w:val="0"/>
                <w:bCs w:val="0"/>
                <w:sz w:val="20"/>
                <w:szCs w:val="20"/>
              </w:rPr>
              <w:t>64,00</w:t>
            </w:r>
          </w:p>
        </w:tc>
      </w:tr>
      <w:tr w:rsidR="004909B0" w:rsidRPr="004A4EEA" w14:paraId="4D5DC1FB" w14:textId="77777777" w:rsidTr="00EE7642">
        <w:tc>
          <w:tcPr>
            <w:tcW w:w="4990" w:type="dxa"/>
            <w:vAlign w:val="center"/>
          </w:tcPr>
          <w:p w14:paraId="3C7044D2" w14:textId="0E8B644B" w:rsidR="004909B0" w:rsidRPr="004909B0" w:rsidRDefault="004909B0" w:rsidP="004909B0">
            <w:pPr>
              <w:autoSpaceDE w:val="0"/>
              <w:autoSpaceDN w:val="0"/>
              <w:adjustRightInd w:val="0"/>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Verlängerung Anbindeleitung Edelstahl VL/RL, je 10 m (Pauschale für 30 Tage)</w:t>
            </w:r>
          </w:p>
        </w:tc>
        <w:tc>
          <w:tcPr>
            <w:tcW w:w="1743" w:type="dxa"/>
            <w:vAlign w:val="center"/>
          </w:tcPr>
          <w:p w14:paraId="3A0CF6EB" w14:textId="71B1B403" w:rsidR="004909B0" w:rsidRPr="004909B0" w:rsidRDefault="004909B0" w:rsidP="004909B0">
            <w:pPr>
              <w:autoSpaceDE w:val="0"/>
              <w:autoSpaceDN w:val="0"/>
              <w:adjustRightInd w:val="0"/>
              <w:spacing w:line="288" w:lineRule="auto"/>
              <w:textAlignment w:val="center"/>
              <w:rPr>
                <w:rFonts w:ascii="Titillium Web" w:hAnsi="Titillium Web" w:cs="Titillium Web"/>
                <w:color w:val="000000"/>
                <w:sz w:val="20"/>
                <w:szCs w:val="20"/>
              </w:rPr>
            </w:pPr>
            <w:r w:rsidRPr="004909B0">
              <w:rPr>
                <w:rStyle w:val="Taballe-Text"/>
                <w:rFonts w:ascii="Titillium Web" w:hAnsi="Titillium Web" w:cs="Titillium Web"/>
                <w:sz w:val="20"/>
                <w:szCs w:val="20"/>
              </w:rPr>
              <w:t>MCABLED200030</w:t>
            </w:r>
          </w:p>
        </w:tc>
        <w:tc>
          <w:tcPr>
            <w:tcW w:w="1970" w:type="dxa"/>
            <w:vAlign w:val="center"/>
          </w:tcPr>
          <w:p w14:paraId="1E696BEA" w14:textId="30436C52" w:rsidR="004909B0" w:rsidRPr="004909B0" w:rsidRDefault="004909B0" w:rsidP="004909B0">
            <w:pPr>
              <w:rPr>
                <w:rStyle w:val="Tabelle-Hervorhebungschwarz"/>
                <w:rFonts w:ascii="Titillium Web" w:hAnsi="Titillium Web" w:cs="Titillium Web"/>
                <w:b w:val="0"/>
                <w:bCs w:val="0"/>
                <w:sz w:val="20"/>
                <w:szCs w:val="20"/>
              </w:rPr>
            </w:pPr>
            <w:r w:rsidRPr="004909B0">
              <w:rPr>
                <w:rStyle w:val="Tabelle-Hervorhebungschwarz"/>
                <w:rFonts w:ascii="Titillium Web" w:hAnsi="Titillium Web" w:cs="Titillium Web"/>
                <w:b w:val="0"/>
                <w:bCs w:val="0"/>
                <w:sz w:val="20"/>
                <w:szCs w:val="20"/>
              </w:rPr>
              <w:t>256,00</w:t>
            </w:r>
          </w:p>
        </w:tc>
      </w:tr>
    </w:tbl>
    <w:p w14:paraId="0B47769B" w14:textId="77777777" w:rsidR="00BA4D23" w:rsidRDefault="00BA4D23" w:rsidP="00BA4D23">
      <w:pPr>
        <w:autoSpaceDE w:val="0"/>
        <w:autoSpaceDN w:val="0"/>
        <w:adjustRightInd w:val="0"/>
        <w:spacing w:after="0" w:line="288" w:lineRule="auto"/>
        <w:textAlignment w:val="center"/>
        <w:rPr>
          <w:rFonts w:ascii="Titillium Web" w:hAnsi="Titillium Web" w:cs="Titillium Web"/>
          <w:i/>
          <w:iCs/>
          <w:color w:val="000000"/>
          <w:sz w:val="16"/>
          <w:szCs w:val="16"/>
        </w:rPr>
      </w:pPr>
    </w:p>
    <w:p w14:paraId="4058E86E" w14:textId="77777777" w:rsidR="007367D9" w:rsidRPr="004A4EEA" w:rsidRDefault="007367D9" w:rsidP="008C06DB">
      <w:pPr>
        <w:spacing w:line="240" w:lineRule="auto"/>
        <w:rPr>
          <w:rFonts w:ascii="Titillium Web" w:hAnsi="Titillium Web"/>
          <w:sz w:val="20"/>
          <w:szCs w:val="20"/>
        </w:rPr>
      </w:pPr>
    </w:p>
    <w:sectPr w:rsidR="007367D9" w:rsidRPr="004A4EEA" w:rsidSect="00864D2E">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4576C0"/>
    <w:multiLevelType w:val="hybridMultilevel"/>
    <w:tmpl w:val="F9E8D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908D1"/>
    <w:multiLevelType w:val="hybridMultilevel"/>
    <w:tmpl w:val="E79CCE5C"/>
    <w:lvl w:ilvl="0" w:tplc="B1E64426">
      <w:numFmt w:val="bullet"/>
      <w:lvlText w:val="•"/>
      <w:lvlJc w:val="left"/>
      <w:pPr>
        <w:ind w:left="1080" w:hanging="360"/>
      </w:pPr>
      <w:rPr>
        <w:rFonts w:ascii="Titillium Web" w:eastAsiaTheme="minorHAnsi" w:hAnsi="Titillium Web" w:cs="Titillium Web"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9A33B31"/>
    <w:multiLevelType w:val="hybridMultilevel"/>
    <w:tmpl w:val="0088C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EF4E6F"/>
    <w:multiLevelType w:val="hybridMultilevel"/>
    <w:tmpl w:val="674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C5CD0"/>
    <w:multiLevelType w:val="hybridMultilevel"/>
    <w:tmpl w:val="B120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D44453"/>
    <w:multiLevelType w:val="hybridMultilevel"/>
    <w:tmpl w:val="D2605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8C21BD"/>
    <w:multiLevelType w:val="hybridMultilevel"/>
    <w:tmpl w:val="201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1B6835"/>
    <w:multiLevelType w:val="hybridMultilevel"/>
    <w:tmpl w:val="FF64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2A2DFC"/>
    <w:multiLevelType w:val="hybridMultilevel"/>
    <w:tmpl w:val="BA2CC91A"/>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04561C"/>
    <w:multiLevelType w:val="hybridMultilevel"/>
    <w:tmpl w:val="F11412E8"/>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C77C6E"/>
    <w:multiLevelType w:val="hybridMultilevel"/>
    <w:tmpl w:val="C28C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652F5F"/>
    <w:multiLevelType w:val="hybridMultilevel"/>
    <w:tmpl w:val="184E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F03536"/>
    <w:multiLevelType w:val="hybridMultilevel"/>
    <w:tmpl w:val="34D8B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823C20"/>
    <w:multiLevelType w:val="hybridMultilevel"/>
    <w:tmpl w:val="D07A754E"/>
    <w:lvl w:ilvl="0" w:tplc="B1E64426">
      <w:numFmt w:val="bullet"/>
      <w:lvlText w:val="•"/>
      <w:lvlJc w:val="left"/>
      <w:pPr>
        <w:ind w:left="720" w:hanging="360"/>
      </w:pPr>
      <w:rPr>
        <w:rFonts w:ascii="Titillium Web" w:eastAsiaTheme="minorHAnsi" w:hAnsi="Titillium Web" w:cs="Titillium We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D10214"/>
    <w:multiLevelType w:val="hybridMultilevel"/>
    <w:tmpl w:val="C1544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861182"/>
    <w:multiLevelType w:val="hybridMultilevel"/>
    <w:tmpl w:val="CF76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3B6AD4"/>
    <w:multiLevelType w:val="hybridMultilevel"/>
    <w:tmpl w:val="0F64F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1"/>
  </w:num>
  <w:num w:numId="5">
    <w:abstractNumId w:val="21"/>
  </w:num>
  <w:num w:numId="6">
    <w:abstractNumId w:val="5"/>
  </w:num>
  <w:num w:numId="7">
    <w:abstractNumId w:val="14"/>
  </w:num>
  <w:num w:numId="8">
    <w:abstractNumId w:val="4"/>
  </w:num>
  <w:num w:numId="9">
    <w:abstractNumId w:val="13"/>
  </w:num>
  <w:num w:numId="10">
    <w:abstractNumId w:val="10"/>
  </w:num>
  <w:num w:numId="11">
    <w:abstractNumId w:val="2"/>
  </w:num>
  <w:num w:numId="12">
    <w:abstractNumId w:val="7"/>
  </w:num>
  <w:num w:numId="13">
    <w:abstractNumId w:val="8"/>
  </w:num>
  <w:num w:numId="14">
    <w:abstractNumId w:val="19"/>
  </w:num>
  <w:num w:numId="15">
    <w:abstractNumId w:val="12"/>
  </w:num>
  <w:num w:numId="16">
    <w:abstractNumId w:val="17"/>
  </w:num>
  <w:num w:numId="17">
    <w:abstractNumId w:val="3"/>
  </w:num>
  <w:num w:numId="18">
    <w:abstractNumId w:val="9"/>
  </w:num>
  <w:num w:numId="19">
    <w:abstractNumId w:val="15"/>
  </w:num>
  <w:num w:numId="20">
    <w:abstractNumId w:val="18"/>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01FEB"/>
    <w:rsid w:val="00017326"/>
    <w:rsid w:val="0007570C"/>
    <w:rsid w:val="00103106"/>
    <w:rsid w:val="00114CB7"/>
    <w:rsid w:val="0012033A"/>
    <w:rsid w:val="00196C33"/>
    <w:rsid w:val="001A7B71"/>
    <w:rsid w:val="003717CC"/>
    <w:rsid w:val="003A6D82"/>
    <w:rsid w:val="003C1AD4"/>
    <w:rsid w:val="004909B0"/>
    <w:rsid w:val="004A4EEA"/>
    <w:rsid w:val="007367D9"/>
    <w:rsid w:val="007612CA"/>
    <w:rsid w:val="008165DD"/>
    <w:rsid w:val="00864D2E"/>
    <w:rsid w:val="008C06DB"/>
    <w:rsid w:val="008E6BA1"/>
    <w:rsid w:val="00914D83"/>
    <w:rsid w:val="00925707"/>
    <w:rsid w:val="009760AD"/>
    <w:rsid w:val="009C0BA9"/>
    <w:rsid w:val="009D2A9B"/>
    <w:rsid w:val="00B05BDE"/>
    <w:rsid w:val="00B7246D"/>
    <w:rsid w:val="00BA4D23"/>
    <w:rsid w:val="00C44C3A"/>
    <w:rsid w:val="00CF462D"/>
    <w:rsid w:val="00D1090B"/>
    <w:rsid w:val="00D47288"/>
    <w:rsid w:val="00D610BC"/>
    <w:rsid w:val="00DB6618"/>
    <w:rsid w:val="00EE7642"/>
    <w:rsid w:val="00FF4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character" w:customStyle="1" w:styleId="Tabelle-Hervorhebungschwarz">
    <w:name w:val="Tabelle - Hervorhebung schwarz"/>
    <w:uiPriority w:val="99"/>
    <w:rsid w:val="00114CB7"/>
    <w:rPr>
      <w:rFonts w:ascii="Dax Offc Pro (TT) Bold" w:hAnsi="Dax Offc Pro (TT) Bold" w:cs="Dax Offc Pro (TT) Bold"/>
      <w:b/>
      <w:bCs/>
      <w:spacing w:val="0"/>
      <w:sz w:val="18"/>
      <w:szCs w:val="18"/>
    </w:rPr>
  </w:style>
  <w:style w:type="character" w:customStyle="1" w:styleId="Tabelle-Hervorhebungwei">
    <w:name w:val="Tabelle - Hervorhebung weiß"/>
    <w:uiPriority w:val="99"/>
    <w:rsid w:val="00D47288"/>
    <w:rPr>
      <w:b/>
      <w:bCs/>
      <w:color w:val="FFFFFF"/>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Anna-Lena Radloff</cp:lastModifiedBy>
  <cp:revision>3</cp:revision>
  <dcterms:created xsi:type="dcterms:W3CDTF">2021-02-23T15:18:00Z</dcterms:created>
  <dcterms:modified xsi:type="dcterms:W3CDTF">2021-02-24T08:47:00Z</dcterms:modified>
</cp:coreProperties>
</file>