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FA915" w14:textId="47B1D723" w:rsidR="008C06DB" w:rsidRPr="008165DD" w:rsidRDefault="00D47288" w:rsidP="008165DD">
      <w:pPr>
        <w:spacing w:line="240" w:lineRule="auto"/>
        <w:rPr>
          <w:rFonts w:ascii="Titillium Web" w:hAnsi="Titillium Web"/>
          <w:b/>
          <w:bCs/>
          <w:sz w:val="20"/>
          <w:szCs w:val="20"/>
        </w:rPr>
      </w:pPr>
      <w:bookmarkStart w:id="0" w:name="_Hlk64973301"/>
      <w:bookmarkStart w:id="1" w:name="_Hlk64978827"/>
      <w:r w:rsidRPr="008165DD">
        <w:rPr>
          <w:rFonts w:ascii="Titillium Web" w:hAnsi="Titillium Web"/>
          <w:b/>
          <w:bCs/>
          <w:sz w:val="20"/>
          <w:szCs w:val="20"/>
        </w:rPr>
        <w:t xml:space="preserve">Mobiheat MC </w:t>
      </w:r>
      <w:r w:rsidR="009C0BA9">
        <w:rPr>
          <w:rFonts w:ascii="Titillium Web" w:hAnsi="Titillium Web"/>
          <w:b/>
          <w:bCs/>
          <w:sz w:val="20"/>
          <w:szCs w:val="20"/>
        </w:rPr>
        <w:t>25</w:t>
      </w:r>
      <w:r w:rsidRPr="008165DD">
        <w:rPr>
          <w:rFonts w:ascii="Titillium Web" w:hAnsi="Titillium Web"/>
          <w:b/>
          <w:bCs/>
          <w:sz w:val="20"/>
          <w:szCs w:val="20"/>
        </w:rPr>
        <w:t xml:space="preserve"> | </w:t>
      </w:r>
      <w:r w:rsidR="009C0BA9">
        <w:rPr>
          <w:rFonts w:ascii="Titillium Web" w:hAnsi="Titillium Web"/>
          <w:b/>
          <w:bCs/>
          <w:sz w:val="20"/>
          <w:szCs w:val="20"/>
        </w:rPr>
        <w:t xml:space="preserve">25 </w:t>
      </w:r>
      <w:r w:rsidR="00DB6618" w:rsidRPr="008165DD">
        <w:rPr>
          <w:rFonts w:ascii="Titillium Web" w:hAnsi="Titillium Web"/>
          <w:b/>
          <w:bCs/>
          <w:sz w:val="20"/>
          <w:szCs w:val="20"/>
        </w:rPr>
        <w:t>k</w:t>
      </w:r>
      <w:r w:rsidRPr="008165DD">
        <w:rPr>
          <w:rFonts w:ascii="Titillium Web" w:hAnsi="Titillium Web"/>
          <w:b/>
          <w:bCs/>
          <w:sz w:val="20"/>
          <w:szCs w:val="20"/>
        </w:rPr>
        <w:t>W Kaltwassersatz</w:t>
      </w:r>
    </w:p>
    <w:bookmarkEnd w:id="0"/>
    <w:p w14:paraId="4673E5FC" w14:textId="667DD92B" w:rsidR="008E6BA1" w:rsidRDefault="008E6BA1" w:rsidP="008E6BA1">
      <w:pPr>
        <w:autoSpaceDE w:val="0"/>
        <w:autoSpaceDN w:val="0"/>
        <w:adjustRightInd w:val="0"/>
        <w:spacing w:after="0" w:line="288" w:lineRule="auto"/>
        <w:textAlignment w:val="center"/>
        <w:rPr>
          <w:rFonts w:ascii="Dax Offc Pro" w:hAnsi="Dax Offc Pro" w:cs="Dax Offc Pro"/>
          <w:color w:val="000000"/>
          <w:sz w:val="18"/>
          <w:szCs w:val="18"/>
        </w:rPr>
      </w:pPr>
      <w:r w:rsidRPr="008E6BA1">
        <w:rPr>
          <w:rFonts w:ascii="Dax Offc Pro" w:hAnsi="Dax Offc Pro" w:cs="Dax Offc Pro"/>
          <w:color w:val="000000"/>
          <w:sz w:val="18"/>
          <w:szCs w:val="18"/>
        </w:rPr>
        <w:t xml:space="preserve">Die </w:t>
      </w:r>
      <w:r w:rsidRPr="008E6BA1">
        <w:rPr>
          <w:rFonts w:ascii="Dax Offc Pro" w:hAnsi="Dax Offc Pro" w:cs="Dax Offc Pro"/>
          <w:b/>
          <w:bCs/>
          <w:color w:val="000000"/>
          <w:sz w:val="18"/>
          <w:szCs w:val="18"/>
        </w:rPr>
        <w:t>mobile Kältezentrale MC25</w:t>
      </w:r>
      <w:r w:rsidRPr="008E6BA1">
        <w:rPr>
          <w:rFonts w:ascii="Dax Offc Pro" w:hAnsi="Dax Offc Pro" w:cs="Dax Offc Pro"/>
          <w:color w:val="000000"/>
          <w:sz w:val="18"/>
          <w:szCs w:val="18"/>
        </w:rPr>
        <w:t xml:space="preserve"> ist ein luftgekühlter Kaltwassersatz mit einer Leistung von 25 kW.  Die wartungsarmen Kühlanlagen sind besonders für industrielle Anwendungen geeignet, bei denen eine Temperaturregelung mit einer hohen Genauigkeit erforderlich ist.</w:t>
      </w:r>
    </w:p>
    <w:p w14:paraId="70BFDFF6" w14:textId="77777777" w:rsidR="008E6BA1" w:rsidRPr="008E6BA1" w:rsidRDefault="008E6BA1" w:rsidP="008E6BA1">
      <w:pPr>
        <w:autoSpaceDE w:val="0"/>
        <w:autoSpaceDN w:val="0"/>
        <w:adjustRightInd w:val="0"/>
        <w:spacing w:after="0" w:line="288" w:lineRule="auto"/>
        <w:textAlignment w:val="center"/>
        <w:rPr>
          <w:rFonts w:ascii="Dax Offc Pro" w:hAnsi="Dax Offc Pro" w:cs="Dax Offc Pro"/>
          <w:color w:val="000000"/>
          <w:sz w:val="18"/>
          <w:szCs w:val="18"/>
        </w:rPr>
      </w:pPr>
    </w:p>
    <w:p w14:paraId="3A137233" w14:textId="728510B7" w:rsidR="008E6BA1" w:rsidRPr="008E6BA1" w:rsidRDefault="008E6BA1" w:rsidP="008E6BA1">
      <w:pPr>
        <w:autoSpaceDE w:val="0"/>
        <w:autoSpaceDN w:val="0"/>
        <w:adjustRightInd w:val="0"/>
        <w:spacing w:after="0" w:line="288" w:lineRule="auto"/>
        <w:textAlignment w:val="center"/>
        <w:rPr>
          <w:rFonts w:ascii="Dax Offc Pro" w:hAnsi="Dax Offc Pro" w:cs="Dax Offc Pro"/>
          <w:b/>
          <w:bCs/>
          <w:color w:val="000000"/>
          <w:sz w:val="18"/>
          <w:szCs w:val="18"/>
        </w:rPr>
      </w:pPr>
      <w:r w:rsidRPr="008E6BA1">
        <w:rPr>
          <w:rFonts w:ascii="Dax Offc Pro" w:hAnsi="Dax Offc Pro" w:cs="Dax Offc Pro"/>
          <w:b/>
          <w:bCs/>
          <w:color w:val="000000"/>
          <w:sz w:val="18"/>
          <w:szCs w:val="18"/>
        </w:rPr>
        <w:t>Einsatzgebiete:</w:t>
      </w:r>
    </w:p>
    <w:p w14:paraId="4AB19FF2" w14:textId="1710EAFE" w:rsidR="00864D2E" w:rsidRPr="008165DD" w:rsidRDefault="008E6BA1" w:rsidP="008E6BA1">
      <w:pPr>
        <w:autoSpaceDE w:val="0"/>
        <w:autoSpaceDN w:val="0"/>
        <w:adjustRightInd w:val="0"/>
        <w:spacing w:after="0" w:line="240" w:lineRule="auto"/>
        <w:textAlignment w:val="center"/>
        <w:rPr>
          <w:rFonts w:ascii="Titillium Web" w:hAnsi="Titillium Web" w:cs="Titillium Web"/>
          <w:color w:val="000000"/>
          <w:sz w:val="20"/>
          <w:szCs w:val="20"/>
        </w:rPr>
      </w:pPr>
      <w:r w:rsidRPr="008E6BA1">
        <w:rPr>
          <w:rFonts w:ascii="Dax Offc Pro" w:hAnsi="Dax Offc Pro" w:cs="Dax Offc Pro"/>
          <w:color w:val="000000"/>
          <w:sz w:val="18"/>
          <w:szCs w:val="18"/>
        </w:rPr>
        <w:t>Kaltwassersätze sind sehr flexibel einsetzbar und werden vor allem bei Prozesskühlungen eingesetzt. In der industriellen Fertigung kann der Kaltwassersatz bei der Maschinenkühlung die geforderte Temperatur mit hoher Genauigkeit gewährleisten. Hauptsächlich kommt ein Kaltwassersatz bei Fertigungsprozessen, Maschinen und in Rechnungszentren zum Einsatz. Außerdem kann mit Kältezentralen dieser Art eine optimale Kühlung in Wohngebäuden oder gewerblichen Räumen erzielt werden.</w:t>
      </w:r>
    </w:p>
    <w:bookmarkEnd w:id="1"/>
    <w:p w14:paraId="4A53B44C" w14:textId="77777777" w:rsidR="00DB6618" w:rsidRPr="008165DD" w:rsidRDefault="00DB6618" w:rsidP="008165DD">
      <w:pPr>
        <w:autoSpaceDE w:val="0"/>
        <w:autoSpaceDN w:val="0"/>
        <w:adjustRightInd w:val="0"/>
        <w:spacing w:after="0" w:line="240" w:lineRule="auto"/>
        <w:textAlignment w:val="center"/>
        <w:rPr>
          <w:rFonts w:ascii="Titillium Web" w:hAnsi="Titillium Web" w:cs="Titillium Web"/>
          <w:color w:val="000000"/>
          <w:sz w:val="20"/>
          <w:szCs w:val="20"/>
        </w:rPr>
      </w:pPr>
    </w:p>
    <w:p w14:paraId="39E05558" w14:textId="3CAE3D0F" w:rsidR="00DB6618" w:rsidRPr="008165DD" w:rsidRDefault="00864D2E" w:rsidP="008165DD">
      <w:pPr>
        <w:autoSpaceDE w:val="0"/>
        <w:autoSpaceDN w:val="0"/>
        <w:adjustRightInd w:val="0"/>
        <w:spacing w:after="0" w:line="240" w:lineRule="auto"/>
        <w:textAlignment w:val="center"/>
        <w:rPr>
          <w:rFonts w:ascii="Titillium Web" w:hAnsi="Titillium Web" w:cs="Titillium Web"/>
          <w:color w:val="000000"/>
          <w:sz w:val="20"/>
          <w:szCs w:val="20"/>
        </w:rPr>
      </w:pPr>
      <w:r w:rsidRPr="008165DD">
        <w:rPr>
          <w:rFonts w:ascii="Titillium Web" w:hAnsi="Titillium Web" w:cs="Titillium Web"/>
          <w:color w:val="000000"/>
          <w:sz w:val="20"/>
          <w:szCs w:val="20"/>
        </w:rPr>
        <w:t>Mietkonditionen</w:t>
      </w:r>
    </w:p>
    <w:p w14:paraId="45F71FC4" w14:textId="01745AF5" w:rsidR="008E6BA1" w:rsidRPr="008E6BA1" w:rsidRDefault="008E6BA1" w:rsidP="008E6BA1">
      <w:pPr>
        <w:pStyle w:val="Listenabsatz"/>
        <w:numPr>
          <w:ilvl w:val="0"/>
          <w:numId w:val="20"/>
        </w:numPr>
        <w:autoSpaceDE w:val="0"/>
        <w:autoSpaceDN w:val="0"/>
        <w:adjustRightInd w:val="0"/>
        <w:spacing w:after="0" w:line="260" w:lineRule="atLeast"/>
        <w:textAlignment w:val="center"/>
        <w:rPr>
          <w:rFonts w:ascii="Titillium Web" w:hAnsi="Titillium Web" w:cs="Titillium Web"/>
          <w:color w:val="000000"/>
          <w:sz w:val="18"/>
          <w:szCs w:val="18"/>
        </w:rPr>
      </w:pPr>
      <w:r w:rsidRPr="008E6BA1">
        <w:rPr>
          <w:rFonts w:ascii="Titillium Web" w:hAnsi="Titillium Web" w:cs="Titillium Web"/>
          <w:color w:val="000000"/>
          <w:sz w:val="18"/>
          <w:szCs w:val="18"/>
        </w:rPr>
        <w:t>Anlieferung und Abholung</w:t>
      </w:r>
      <w:r w:rsidRPr="008E6BA1">
        <w:rPr>
          <w:rFonts w:ascii="Titillium Web" w:hAnsi="Titillium Web" w:cs="Titillium Web"/>
          <w:color w:val="008FC1"/>
          <w:sz w:val="18"/>
          <w:szCs w:val="18"/>
        </w:rPr>
        <w:br/>
      </w:r>
      <w:r w:rsidRPr="008E6BA1">
        <w:rPr>
          <w:rFonts w:ascii="Titillium Web" w:hAnsi="Titillium Web" w:cs="Titillium Web"/>
          <w:color w:val="000000"/>
          <w:sz w:val="18"/>
          <w:szCs w:val="18"/>
        </w:rPr>
        <w:t>Inkl. Anschlüsse und Anbindeleitungen (für je 10 m Vorlauf und Rücklauf)</w:t>
      </w:r>
    </w:p>
    <w:p w14:paraId="37B3FC2E" w14:textId="348A8556" w:rsidR="008E6BA1" w:rsidRPr="008E6BA1" w:rsidRDefault="008E6BA1" w:rsidP="008E6BA1">
      <w:pPr>
        <w:pStyle w:val="Listenabsatz"/>
        <w:numPr>
          <w:ilvl w:val="0"/>
          <w:numId w:val="20"/>
        </w:numPr>
        <w:autoSpaceDE w:val="0"/>
        <w:autoSpaceDN w:val="0"/>
        <w:adjustRightInd w:val="0"/>
        <w:spacing w:after="0" w:line="260" w:lineRule="atLeast"/>
        <w:textAlignment w:val="center"/>
        <w:rPr>
          <w:rFonts w:ascii="Titillium Web" w:hAnsi="Titillium Web" w:cs="Titillium Web"/>
          <w:color w:val="000000"/>
          <w:sz w:val="18"/>
          <w:szCs w:val="18"/>
        </w:rPr>
      </w:pPr>
      <w:r w:rsidRPr="008E6BA1">
        <w:rPr>
          <w:rFonts w:ascii="Titillium Web" w:hAnsi="Titillium Web" w:cs="Titillium Web"/>
          <w:color w:val="000000"/>
          <w:sz w:val="18"/>
          <w:szCs w:val="18"/>
        </w:rPr>
        <w:t>Inkl. Stromkabel 20 m</w:t>
      </w:r>
    </w:p>
    <w:p w14:paraId="0EDE3AC8" w14:textId="1B3C584B" w:rsidR="008E6BA1" w:rsidRPr="008E6BA1" w:rsidRDefault="008E6BA1" w:rsidP="008E6BA1">
      <w:pPr>
        <w:pStyle w:val="Listenabsatz"/>
        <w:numPr>
          <w:ilvl w:val="0"/>
          <w:numId w:val="20"/>
        </w:numPr>
        <w:autoSpaceDE w:val="0"/>
        <w:autoSpaceDN w:val="0"/>
        <w:adjustRightInd w:val="0"/>
        <w:spacing w:after="0" w:line="260" w:lineRule="atLeast"/>
        <w:textAlignment w:val="center"/>
        <w:rPr>
          <w:rFonts w:ascii="Titillium Web" w:hAnsi="Titillium Web" w:cs="Titillium Web"/>
          <w:color w:val="000000"/>
          <w:sz w:val="18"/>
          <w:szCs w:val="18"/>
        </w:rPr>
      </w:pPr>
      <w:r w:rsidRPr="008E6BA1">
        <w:rPr>
          <w:rFonts w:ascii="Titillium Web" w:hAnsi="Titillium Web" w:cs="Titillium Web"/>
          <w:color w:val="000000"/>
          <w:sz w:val="18"/>
          <w:szCs w:val="18"/>
        </w:rPr>
        <w:t>Taggenaue Abrechnung nach Ablauf der Wochengrundmiete</w:t>
      </w:r>
    </w:p>
    <w:p w14:paraId="6B6340CD" w14:textId="3B55B889" w:rsidR="00DB6618" w:rsidRPr="008E6BA1" w:rsidRDefault="008E6BA1" w:rsidP="008E6BA1">
      <w:pPr>
        <w:pStyle w:val="Listenabsatz"/>
        <w:numPr>
          <w:ilvl w:val="0"/>
          <w:numId w:val="20"/>
        </w:numPr>
        <w:spacing w:line="240" w:lineRule="auto"/>
        <w:rPr>
          <w:rFonts w:ascii="Titillium Web" w:hAnsi="Titillium Web"/>
          <w:sz w:val="20"/>
          <w:szCs w:val="20"/>
        </w:rPr>
      </w:pPr>
      <w:r w:rsidRPr="008E6BA1">
        <w:rPr>
          <w:rFonts w:ascii="Titillium Web" w:hAnsi="Titillium Web" w:cs="Titillium Web"/>
          <w:color w:val="000000"/>
          <w:sz w:val="18"/>
          <w:szCs w:val="18"/>
        </w:rPr>
        <w:t xml:space="preserve">Anliefertag und Abmeldetag werden als </w:t>
      </w:r>
      <w:proofErr w:type="spellStart"/>
      <w:r w:rsidRPr="008E6BA1">
        <w:rPr>
          <w:rFonts w:ascii="Titillium Web" w:hAnsi="Titillium Web" w:cs="Titillium Web"/>
          <w:color w:val="000000"/>
          <w:sz w:val="18"/>
          <w:szCs w:val="18"/>
        </w:rPr>
        <w:t>Miettag</w:t>
      </w:r>
      <w:proofErr w:type="spellEnd"/>
      <w:r w:rsidRPr="008E6BA1">
        <w:rPr>
          <w:rFonts w:ascii="Titillium Web" w:hAnsi="Titillium Web" w:cs="Titillium Web"/>
          <w:color w:val="000000"/>
          <w:sz w:val="18"/>
          <w:szCs w:val="18"/>
        </w:rPr>
        <w:t xml:space="preserve"> berechnet!</w:t>
      </w:r>
    </w:p>
    <w:p w14:paraId="62953A22" w14:textId="77777777" w:rsidR="008E6BA1" w:rsidRPr="008E6BA1" w:rsidRDefault="008E6BA1" w:rsidP="008E6BA1">
      <w:pPr>
        <w:pStyle w:val="Listenabsatz"/>
        <w:spacing w:line="240" w:lineRule="auto"/>
        <w:rPr>
          <w:rFonts w:ascii="Titillium Web" w:hAnsi="Titillium Web"/>
          <w:sz w:val="20"/>
          <w:szCs w:val="20"/>
        </w:rPr>
      </w:pPr>
    </w:p>
    <w:tbl>
      <w:tblPr>
        <w:tblStyle w:val="Tabellenraster"/>
        <w:tblW w:w="0" w:type="auto"/>
        <w:tblInd w:w="360" w:type="dxa"/>
        <w:tblLook w:val="04A0" w:firstRow="1" w:lastRow="0" w:firstColumn="1" w:lastColumn="0" w:noHBand="0" w:noVBand="1"/>
      </w:tblPr>
      <w:tblGrid>
        <w:gridCol w:w="5022"/>
        <w:gridCol w:w="1701"/>
        <w:gridCol w:w="1980"/>
      </w:tblGrid>
      <w:tr w:rsidR="00196C33" w:rsidRPr="004A4EEA" w14:paraId="165D7BB8" w14:textId="77777777" w:rsidTr="00BA4D23">
        <w:tc>
          <w:tcPr>
            <w:tcW w:w="5022" w:type="dxa"/>
            <w:vAlign w:val="center"/>
          </w:tcPr>
          <w:p w14:paraId="403F21E4" w14:textId="3AC36D11" w:rsidR="00196C33" w:rsidRPr="008165DD" w:rsidRDefault="00DB6618" w:rsidP="00D610BC">
            <w:pPr>
              <w:autoSpaceDE w:val="0"/>
              <w:autoSpaceDN w:val="0"/>
              <w:adjustRightInd w:val="0"/>
              <w:spacing w:line="288" w:lineRule="auto"/>
              <w:textAlignment w:val="center"/>
              <w:rPr>
                <w:rFonts w:ascii="Titillium Web" w:hAnsi="Titillium Web" w:cs="Titillium Web"/>
                <w:color w:val="000000"/>
                <w:sz w:val="20"/>
                <w:szCs w:val="20"/>
              </w:rPr>
            </w:pPr>
            <w:r w:rsidRPr="00DB6618">
              <w:rPr>
                <w:rFonts w:ascii="Titillium Web" w:hAnsi="Titillium Web" w:cs="Titillium Web"/>
                <w:color w:val="000000"/>
                <w:sz w:val="20"/>
                <w:szCs w:val="20"/>
              </w:rPr>
              <w:t xml:space="preserve">Mobiler Kaltwassersatz </w:t>
            </w:r>
            <w:r w:rsidR="008E6BA1">
              <w:rPr>
                <w:rFonts w:ascii="Titillium Web" w:hAnsi="Titillium Web" w:cs="Titillium Web"/>
                <w:color w:val="000000"/>
                <w:sz w:val="20"/>
                <w:szCs w:val="20"/>
              </w:rPr>
              <w:t>25</w:t>
            </w:r>
            <w:r w:rsidRPr="00DB6618">
              <w:rPr>
                <w:rFonts w:ascii="Titillium Web" w:hAnsi="Titillium Web" w:cs="Titillium Web"/>
                <w:color w:val="000000"/>
                <w:sz w:val="20"/>
                <w:szCs w:val="20"/>
              </w:rPr>
              <w:t xml:space="preserve"> kW</w:t>
            </w:r>
          </w:p>
        </w:tc>
        <w:tc>
          <w:tcPr>
            <w:tcW w:w="3681" w:type="dxa"/>
            <w:gridSpan w:val="2"/>
            <w:vAlign w:val="center"/>
          </w:tcPr>
          <w:p w14:paraId="21E62D1D" w14:textId="51F6D511" w:rsidR="00196C33" w:rsidRPr="008165DD" w:rsidRDefault="00DB6618" w:rsidP="00D610BC">
            <w:pPr>
              <w:autoSpaceDE w:val="0"/>
              <w:autoSpaceDN w:val="0"/>
              <w:adjustRightInd w:val="0"/>
              <w:spacing w:line="288" w:lineRule="auto"/>
              <w:textAlignment w:val="center"/>
              <w:rPr>
                <w:rFonts w:ascii="Titillium Web" w:hAnsi="Titillium Web" w:cs="Titillium Web"/>
                <w:color w:val="000000"/>
                <w:sz w:val="20"/>
                <w:szCs w:val="20"/>
              </w:rPr>
            </w:pPr>
            <w:r w:rsidRPr="00DB6618">
              <w:rPr>
                <w:rFonts w:ascii="Titillium Web" w:hAnsi="Titillium Web" w:cs="Titillium Web"/>
                <w:color w:val="000000"/>
                <w:sz w:val="20"/>
                <w:szCs w:val="20"/>
              </w:rPr>
              <w:t>RG DL Standard bis 120 kW</w:t>
            </w:r>
          </w:p>
        </w:tc>
      </w:tr>
      <w:tr w:rsidR="008C06DB" w:rsidRPr="004A4EEA" w14:paraId="7EBC35C6" w14:textId="77777777" w:rsidTr="00BA4D23">
        <w:tc>
          <w:tcPr>
            <w:tcW w:w="5022" w:type="dxa"/>
          </w:tcPr>
          <w:p w14:paraId="35C298E8" w14:textId="56668C7E" w:rsidR="008C06DB" w:rsidRPr="008165DD" w:rsidRDefault="00017326" w:rsidP="008D1F91">
            <w:pPr>
              <w:rPr>
                <w:rFonts w:ascii="Titillium Web" w:hAnsi="Titillium Web"/>
                <w:sz w:val="20"/>
                <w:szCs w:val="20"/>
              </w:rPr>
            </w:pPr>
            <w:r w:rsidRPr="008165DD">
              <w:rPr>
                <w:rFonts w:ascii="Titillium Web" w:hAnsi="Titillium Web"/>
                <w:sz w:val="20"/>
                <w:szCs w:val="20"/>
              </w:rPr>
              <w:t>Mietkonditionen</w:t>
            </w:r>
          </w:p>
        </w:tc>
        <w:tc>
          <w:tcPr>
            <w:tcW w:w="1701" w:type="dxa"/>
          </w:tcPr>
          <w:p w14:paraId="0570D66D" w14:textId="216B7C5F" w:rsidR="008C06DB" w:rsidRPr="008165DD" w:rsidRDefault="007367D9" w:rsidP="008D1F91">
            <w:pPr>
              <w:rPr>
                <w:rFonts w:ascii="Titillium Web" w:hAnsi="Titillium Web"/>
                <w:sz w:val="20"/>
                <w:szCs w:val="20"/>
              </w:rPr>
            </w:pPr>
            <w:r w:rsidRPr="008165DD">
              <w:rPr>
                <w:rFonts w:ascii="Titillium Web" w:hAnsi="Titillium Web"/>
                <w:sz w:val="20"/>
                <w:szCs w:val="20"/>
              </w:rPr>
              <w:t>Artikel-Nr.</w:t>
            </w:r>
          </w:p>
        </w:tc>
        <w:tc>
          <w:tcPr>
            <w:tcW w:w="1980" w:type="dxa"/>
          </w:tcPr>
          <w:p w14:paraId="54DEB46A" w14:textId="00EBE54B" w:rsidR="008C06DB" w:rsidRPr="008165DD" w:rsidRDefault="007367D9" w:rsidP="008D1F91">
            <w:pPr>
              <w:rPr>
                <w:rFonts w:ascii="Titillium Web" w:hAnsi="Titillium Web"/>
                <w:sz w:val="20"/>
                <w:szCs w:val="20"/>
              </w:rPr>
            </w:pPr>
            <w:r w:rsidRPr="008165DD">
              <w:rPr>
                <w:rFonts w:ascii="Titillium Web" w:hAnsi="Titillium Web"/>
                <w:sz w:val="20"/>
                <w:szCs w:val="20"/>
              </w:rPr>
              <w:t>Preis netto EUR</w:t>
            </w:r>
          </w:p>
        </w:tc>
      </w:tr>
      <w:tr w:rsidR="008E6BA1" w:rsidRPr="004A4EEA" w14:paraId="641F27A3" w14:textId="3E15F382" w:rsidTr="00BA4D23">
        <w:tc>
          <w:tcPr>
            <w:tcW w:w="5022" w:type="dxa"/>
            <w:vAlign w:val="center"/>
          </w:tcPr>
          <w:p w14:paraId="3055BC22" w14:textId="6A3608C2" w:rsidR="008E6BA1" w:rsidRPr="008165DD" w:rsidRDefault="008E6BA1" w:rsidP="008E6BA1">
            <w:pPr>
              <w:pStyle w:val="EinfAbs"/>
              <w:rPr>
                <w:rFonts w:ascii="Titillium Web" w:hAnsi="Titillium Web" w:cs="Titillium Web"/>
                <w:sz w:val="20"/>
                <w:szCs w:val="20"/>
              </w:rPr>
            </w:pPr>
            <w:r w:rsidRPr="008165DD">
              <w:rPr>
                <w:rStyle w:val="Taballe-Text"/>
                <w:rFonts w:ascii="Titillium Web" w:hAnsi="Titillium Web" w:cs="Titillium Web"/>
                <w:sz w:val="20"/>
                <w:szCs w:val="20"/>
              </w:rPr>
              <w:t>Wochengrundmiete (7 Tage), inklusive Transport</w:t>
            </w:r>
          </w:p>
        </w:tc>
        <w:tc>
          <w:tcPr>
            <w:tcW w:w="1701" w:type="dxa"/>
            <w:vAlign w:val="center"/>
          </w:tcPr>
          <w:p w14:paraId="2AF9082C" w14:textId="339FC620" w:rsidR="008E6BA1" w:rsidRPr="008E6BA1" w:rsidRDefault="008E6BA1" w:rsidP="008E6BA1">
            <w:pPr>
              <w:autoSpaceDE w:val="0"/>
              <w:autoSpaceDN w:val="0"/>
              <w:adjustRightInd w:val="0"/>
              <w:spacing w:line="288" w:lineRule="auto"/>
              <w:textAlignment w:val="center"/>
              <w:rPr>
                <w:rFonts w:ascii="Titillium Web" w:hAnsi="Titillium Web" w:cs="Titillium Web"/>
                <w:color w:val="000000"/>
                <w:sz w:val="20"/>
                <w:szCs w:val="20"/>
              </w:rPr>
            </w:pPr>
            <w:r w:rsidRPr="008E6BA1">
              <w:rPr>
                <w:rFonts w:ascii="Titillium Web" w:hAnsi="Titillium Web" w:cs="Titillium Web"/>
                <w:sz w:val="20"/>
                <w:szCs w:val="20"/>
              </w:rPr>
              <w:t>MC25V</w:t>
            </w:r>
          </w:p>
        </w:tc>
        <w:tc>
          <w:tcPr>
            <w:tcW w:w="1980" w:type="dxa"/>
            <w:vAlign w:val="center"/>
          </w:tcPr>
          <w:p w14:paraId="6B2BA5CE" w14:textId="45EB364F" w:rsidR="008E6BA1" w:rsidRPr="008E6BA1" w:rsidRDefault="008E6BA1" w:rsidP="008E6BA1">
            <w:pPr>
              <w:autoSpaceDE w:val="0"/>
              <w:autoSpaceDN w:val="0"/>
              <w:adjustRightInd w:val="0"/>
              <w:spacing w:line="288" w:lineRule="auto"/>
              <w:textAlignment w:val="center"/>
              <w:rPr>
                <w:rFonts w:ascii="Titillium Web" w:hAnsi="Titillium Web" w:cs="Titillium Web"/>
                <w:color w:val="000000"/>
                <w:sz w:val="20"/>
                <w:szCs w:val="20"/>
              </w:rPr>
            </w:pPr>
            <w:r w:rsidRPr="008E6BA1">
              <w:rPr>
                <w:rStyle w:val="Tabelle-Hervorhebungschwarz"/>
                <w:rFonts w:ascii="Titillium Web" w:hAnsi="Titillium Web" w:cs="Titillium Web"/>
                <w:b w:val="0"/>
                <w:bCs w:val="0"/>
                <w:sz w:val="20"/>
                <w:szCs w:val="20"/>
              </w:rPr>
              <w:t> 1.359,00</w:t>
            </w:r>
          </w:p>
        </w:tc>
      </w:tr>
      <w:tr w:rsidR="008E6BA1" w:rsidRPr="004A4EEA" w14:paraId="360B0D42" w14:textId="0484B90A" w:rsidTr="00BA4D23">
        <w:tc>
          <w:tcPr>
            <w:tcW w:w="5022" w:type="dxa"/>
            <w:vAlign w:val="center"/>
          </w:tcPr>
          <w:p w14:paraId="1A407667" w14:textId="5D661756" w:rsidR="008E6BA1" w:rsidRPr="008165DD" w:rsidRDefault="008E6BA1" w:rsidP="008E6BA1">
            <w:pPr>
              <w:autoSpaceDE w:val="0"/>
              <w:autoSpaceDN w:val="0"/>
              <w:adjustRightInd w:val="0"/>
              <w:spacing w:line="288" w:lineRule="auto"/>
              <w:textAlignment w:val="center"/>
              <w:rPr>
                <w:rFonts w:ascii="Titillium Web" w:hAnsi="Titillium Web" w:cs="Titillium Web"/>
                <w:color w:val="000000"/>
                <w:sz w:val="20"/>
                <w:szCs w:val="20"/>
              </w:rPr>
            </w:pPr>
            <w:r w:rsidRPr="008165DD">
              <w:rPr>
                <w:rStyle w:val="Taballe-Text"/>
                <w:rFonts w:ascii="Titillium Web" w:hAnsi="Titillium Web" w:cs="Titillium Web"/>
                <w:sz w:val="20"/>
                <w:szCs w:val="20"/>
              </w:rPr>
              <w:t>Mietverlängerungstag (ab dem 8. Tag)</w:t>
            </w:r>
          </w:p>
        </w:tc>
        <w:tc>
          <w:tcPr>
            <w:tcW w:w="1701" w:type="dxa"/>
            <w:vAlign w:val="center"/>
          </w:tcPr>
          <w:p w14:paraId="607B12F9" w14:textId="7399B7BE" w:rsidR="008E6BA1" w:rsidRPr="008E6BA1" w:rsidRDefault="008E6BA1" w:rsidP="008E6BA1">
            <w:pPr>
              <w:autoSpaceDE w:val="0"/>
              <w:autoSpaceDN w:val="0"/>
              <w:adjustRightInd w:val="0"/>
              <w:spacing w:line="288" w:lineRule="auto"/>
              <w:textAlignment w:val="center"/>
              <w:rPr>
                <w:rFonts w:ascii="Titillium Web" w:hAnsi="Titillium Web" w:cs="Titillium Web"/>
                <w:color w:val="000000"/>
                <w:sz w:val="20"/>
                <w:szCs w:val="20"/>
              </w:rPr>
            </w:pPr>
            <w:r w:rsidRPr="008E6BA1">
              <w:rPr>
                <w:rStyle w:val="Taballe-Text"/>
                <w:rFonts w:ascii="Titillium Web" w:hAnsi="Titillium Web" w:cs="Titillium Web"/>
                <w:sz w:val="20"/>
                <w:szCs w:val="20"/>
              </w:rPr>
              <w:t>MC25VT</w:t>
            </w:r>
          </w:p>
        </w:tc>
        <w:tc>
          <w:tcPr>
            <w:tcW w:w="1980" w:type="dxa"/>
            <w:vAlign w:val="center"/>
          </w:tcPr>
          <w:p w14:paraId="72BB6901" w14:textId="679DC133" w:rsidR="008E6BA1" w:rsidRPr="008E6BA1" w:rsidRDefault="008E6BA1" w:rsidP="008E6BA1">
            <w:pPr>
              <w:autoSpaceDE w:val="0"/>
              <w:autoSpaceDN w:val="0"/>
              <w:adjustRightInd w:val="0"/>
              <w:spacing w:line="288" w:lineRule="auto"/>
              <w:textAlignment w:val="center"/>
              <w:rPr>
                <w:rFonts w:ascii="Titillium Web" w:hAnsi="Titillium Web" w:cs="Titillium Web"/>
                <w:color w:val="000000"/>
                <w:sz w:val="20"/>
                <w:szCs w:val="20"/>
              </w:rPr>
            </w:pPr>
            <w:r w:rsidRPr="008E6BA1">
              <w:rPr>
                <w:rStyle w:val="Tabelle-Hervorhebungschwarz"/>
                <w:rFonts w:ascii="Titillium Web" w:hAnsi="Titillium Web" w:cs="Titillium Web"/>
                <w:b w:val="0"/>
                <w:bCs w:val="0"/>
                <w:sz w:val="20"/>
                <w:szCs w:val="20"/>
              </w:rPr>
              <w:t> 45,00</w:t>
            </w:r>
          </w:p>
        </w:tc>
      </w:tr>
      <w:tr w:rsidR="008E6BA1" w:rsidRPr="004A4EEA" w14:paraId="2BF1FAF3" w14:textId="77777777" w:rsidTr="00BA4D23">
        <w:tc>
          <w:tcPr>
            <w:tcW w:w="5022" w:type="dxa"/>
            <w:vAlign w:val="center"/>
          </w:tcPr>
          <w:p w14:paraId="0951DB22" w14:textId="1D87291A" w:rsidR="008E6BA1" w:rsidRPr="008165DD" w:rsidRDefault="008E6BA1" w:rsidP="008E6BA1">
            <w:pPr>
              <w:autoSpaceDE w:val="0"/>
              <w:autoSpaceDN w:val="0"/>
              <w:adjustRightInd w:val="0"/>
              <w:spacing w:line="288" w:lineRule="auto"/>
              <w:textAlignment w:val="center"/>
              <w:rPr>
                <w:rFonts w:ascii="Titillium Web" w:hAnsi="Titillium Web" w:cs="Titillium Web"/>
                <w:color w:val="000000"/>
                <w:sz w:val="20"/>
                <w:szCs w:val="20"/>
              </w:rPr>
            </w:pPr>
            <w:r w:rsidRPr="008E6BA1">
              <w:rPr>
                <w:rFonts w:ascii="Titillium Web" w:hAnsi="Titillium Web" w:cs="Titillium Web"/>
                <w:color w:val="000000"/>
                <w:sz w:val="20"/>
                <w:szCs w:val="20"/>
              </w:rPr>
              <w:t>Monatsgrundmiete (30 Tage), inklusive Transport</w:t>
            </w:r>
          </w:p>
        </w:tc>
        <w:tc>
          <w:tcPr>
            <w:tcW w:w="1701" w:type="dxa"/>
            <w:vAlign w:val="center"/>
          </w:tcPr>
          <w:p w14:paraId="2450543C" w14:textId="4E18B121" w:rsidR="008E6BA1" w:rsidRPr="008E6BA1" w:rsidRDefault="008E6BA1" w:rsidP="008E6BA1">
            <w:pPr>
              <w:autoSpaceDE w:val="0"/>
              <w:autoSpaceDN w:val="0"/>
              <w:adjustRightInd w:val="0"/>
              <w:spacing w:line="288" w:lineRule="auto"/>
              <w:textAlignment w:val="center"/>
              <w:rPr>
                <w:rFonts w:ascii="Titillium Web" w:hAnsi="Titillium Web" w:cs="Titillium Web"/>
                <w:color w:val="000000"/>
                <w:sz w:val="20"/>
                <w:szCs w:val="20"/>
              </w:rPr>
            </w:pPr>
            <w:r w:rsidRPr="008E6BA1">
              <w:rPr>
                <w:rFonts w:ascii="Titillium Web" w:hAnsi="Titillium Web" w:cs="Titillium Web"/>
                <w:sz w:val="20"/>
                <w:szCs w:val="20"/>
              </w:rPr>
              <w:t>MC25VM</w:t>
            </w:r>
          </w:p>
        </w:tc>
        <w:tc>
          <w:tcPr>
            <w:tcW w:w="1980" w:type="dxa"/>
            <w:vAlign w:val="center"/>
          </w:tcPr>
          <w:p w14:paraId="38BC5412" w14:textId="31567D5C" w:rsidR="008E6BA1" w:rsidRPr="008E6BA1" w:rsidRDefault="008E6BA1" w:rsidP="008E6BA1">
            <w:pPr>
              <w:autoSpaceDE w:val="0"/>
              <w:autoSpaceDN w:val="0"/>
              <w:adjustRightInd w:val="0"/>
              <w:spacing w:line="288" w:lineRule="auto"/>
              <w:textAlignment w:val="center"/>
              <w:rPr>
                <w:rFonts w:ascii="Titillium Web" w:hAnsi="Titillium Web" w:cs="Titillium Web"/>
                <w:color w:val="000000"/>
                <w:sz w:val="20"/>
                <w:szCs w:val="20"/>
              </w:rPr>
            </w:pPr>
            <w:r w:rsidRPr="008E6BA1">
              <w:rPr>
                <w:rStyle w:val="Tabelle-Hervorhebungschwarz"/>
                <w:rFonts w:ascii="Titillium Web" w:hAnsi="Titillium Web" w:cs="Titillium Web"/>
                <w:b w:val="0"/>
                <w:bCs w:val="0"/>
                <w:sz w:val="20"/>
                <w:szCs w:val="20"/>
              </w:rPr>
              <w:t> 2.131,00</w:t>
            </w:r>
          </w:p>
        </w:tc>
      </w:tr>
      <w:tr w:rsidR="008E6BA1" w:rsidRPr="004A4EEA" w14:paraId="0FC36BEE" w14:textId="77777777" w:rsidTr="00BA4D23">
        <w:tc>
          <w:tcPr>
            <w:tcW w:w="5022" w:type="dxa"/>
            <w:vAlign w:val="center"/>
          </w:tcPr>
          <w:p w14:paraId="527CF94D" w14:textId="3FC88789" w:rsidR="008E6BA1" w:rsidRPr="008165DD" w:rsidRDefault="008E6BA1" w:rsidP="008E6BA1">
            <w:pPr>
              <w:autoSpaceDE w:val="0"/>
              <w:autoSpaceDN w:val="0"/>
              <w:adjustRightInd w:val="0"/>
              <w:spacing w:line="288" w:lineRule="auto"/>
              <w:textAlignment w:val="center"/>
              <w:rPr>
                <w:rFonts w:ascii="Titillium Web" w:hAnsi="Titillium Web" w:cs="Titillium Web"/>
                <w:color w:val="000000"/>
                <w:sz w:val="20"/>
                <w:szCs w:val="20"/>
              </w:rPr>
            </w:pPr>
            <w:r w:rsidRPr="008E6BA1">
              <w:rPr>
                <w:rFonts w:ascii="Titillium Web" w:hAnsi="Titillium Web" w:cs="Titillium Web"/>
                <w:color w:val="000000"/>
                <w:sz w:val="20"/>
                <w:szCs w:val="20"/>
              </w:rPr>
              <w:t>Mietverlängerungstag (ab dem 31. Tag)</w:t>
            </w:r>
          </w:p>
        </w:tc>
        <w:tc>
          <w:tcPr>
            <w:tcW w:w="1701" w:type="dxa"/>
            <w:vAlign w:val="center"/>
          </w:tcPr>
          <w:p w14:paraId="1F74E554" w14:textId="3FD152E9" w:rsidR="008E6BA1" w:rsidRPr="008E6BA1" w:rsidRDefault="008E6BA1" w:rsidP="008E6BA1">
            <w:pPr>
              <w:autoSpaceDE w:val="0"/>
              <w:autoSpaceDN w:val="0"/>
              <w:adjustRightInd w:val="0"/>
              <w:spacing w:line="288" w:lineRule="auto"/>
              <w:textAlignment w:val="center"/>
              <w:rPr>
                <w:rFonts w:ascii="Titillium Web" w:hAnsi="Titillium Web" w:cs="Titillium Web"/>
                <w:color w:val="000000"/>
                <w:sz w:val="20"/>
                <w:szCs w:val="20"/>
              </w:rPr>
            </w:pPr>
            <w:r w:rsidRPr="008E6BA1">
              <w:rPr>
                <w:rStyle w:val="Taballe-Text"/>
                <w:rFonts w:ascii="Titillium Web" w:hAnsi="Titillium Web" w:cs="Titillium Web"/>
                <w:sz w:val="20"/>
                <w:szCs w:val="20"/>
              </w:rPr>
              <w:t>MC25VT31</w:t>
            </w:r>
          </w:p>
        </w:tc>
        <w:tc>
          <w:tcPr>
            <w:tcW w:w="1980" w:type="dxa"/>
            <w:vAlign w:val="center"/>
          </w:tcPr>
          <w:p w14:paraId="628E7FA3" w14:textId="675DA6BB" w:rsidR="008E6BA1" w:rsidRPr="008E6BA1" w:rsidRDefault="008E6BA1" w:rsidP="008E6BA1">
            <w:pPr>
              <w:autoSpaceDE w:val="0"/>
              <w:autoSpaceDN w:val="0"/>
              <w:adjustRightInd w:val="0"/>
              <w:spacing w:line="288" w:lineRule="auto"/>
              <w:textAlignment w:val="center"/>
              <w:rPr>
                <w:rFonts w:ascii="Titillium Web" w:hAnsi="Titillium Web" w:cs="Titillium Web"/>
                <w:color w:val="000000"/>
                <w:sz w:val="20"/>
                <w:szCs w:val="20"/>
              </w:rPr>
            </w:pPr>
            <w:r w:rsidRPr="008E6BA1">
              <w:rPr>
                <w:rStyle w:val="Tabelle-Hervorhebungschwarz"/>
                <w:rFonts w:ascii="Titillium Web" w:hAnsi="Titillium Web" w:cs="Titillium Web"/>
                <w:b w:val="0"/>
                <w:bCs w:val="0"/>
                <w:sz w:val="20"/>
                <w:szCs w:val="20"/>
              </w:rPr>
              <w:t> 40,00</w:t>
            </w:r>
          </w:p>
        </w:tc>
      </w:tr>
      <w:tr w:rsidR="008E6BA1" w:rsidRPr="004A4EEA" w14:paraId="0EE09E88" w14:textId="77777777" w:rsidTr="00BA4D23">
        <w:tc>
          <w:tcPr>
            <w:tcW w:w="5022" w:type="dxa"/>
            <w:vAlign w:val="center"/>
          </w:tcPr>
          <w:p w14:paraId="01BC85F3" w14:textId="17F2562E" w:rsidR="008E6BA1" w:rsidRPr="008E6BA1" w:rsidRDefault="008E6BA1" w:rsidP="008E6BA1">
            <w:pPr>
              <w:autoSpaceDE w:val="0"/>
              <w:autoSpaceDN w:val="0"/>
              <w:adjustRightInd w:val="0"/>
              <w:spacing w:line="288" w:lineRule="auto"/>
              <w:textAlignment w:val="center"/>
              <w:rPr>
                <w:rFonts w:ascii="Titillium Web" w:hAnsi="Titillium Web" w:cs="Titillium Web"/>
                <w:color w:val="000000"/>
                <w:sz w:val="18"/>
                <w:szCs w:val="18"/>
              </w:rPr>
            </w:pPr>
            <w:r w:rsidRPr="008E6BA1">
              <w:rPr>
                <w:rFonts w:ascii="Titillium Web" w:hAnsi="Titillium Web" w:cs="Titillium Web"/>
                <w:color w:val="000000"/>
                <w:sz w:val="18"/>
                <w:szCs w:val="18"/>
              </w:rPr>
              <w:t>Mietverlängerungstag (ab dem 121. Tag)</w:t>
            </w:r>
          </w:p>
        </w:tc>
        <w:tc>
          <w:tcPr>
            <w:tcW w:w="1701" w:type="dxa"/>
            <w:vAlign w:val="center"/>
          </w:tcPr>
          <w:p w14:paraId="386B7845" w14:textId="0ED249A6" w:rsidR="008E6BA1" w:rsidRPr="008E6BA1" w:rsidRDefault="008E6BA1" w:rsidP="008E6BA1">
            <w:pPr>
              <w:autoSpaceDE w:val="0"/>
              <w:autoSpaceDN w:val="0"/>
              <w:adjustRightInd w:val="0"/>
              <w:spacing w:line="288" w:lineRule="auto"/>
              <w:textAlignment w:val="center"/>
              <w:rPr>
                <w:rStyle w:val="Taballe-Text"/>
                <w:rFonts w:ascii="Titillium Web" w:hAnsi="Titillium Web" w:cs="Titillium Web"/>
                <w:sz w:val="20"/>
                <w:szCs w:val="20"/>
              </w:rPr>
            </w:pPr>
            <w:r w:rsidRPr="008E6BA1">
              <w:rPr>
                <w:rStyle w:val="Taballe-Text"/>
                <w:rFonts w:ascii="Titillium Web" w:hAnsi="Titillium Web" w:cs="Titillium Web"/>
                <w:sz w:val="20"/>
                <w:szCs w:val="20"/>
              </w:rPr>
              <w:t>MC25VT121</w:t>
            </w:r>
          </w:p>
        </w:tc>
        <w:tc>
          <w:tcPr>
            <w:tcW w:w="1980" w:type="dxa"/>
            <w:vAlign w:val="center"/>
          </w:tcPr>
          <w:p w14:paraId="0DF1C35E" w14:textId="3460267E" w:rsidR="008E6BA1" w:rsidRPr="008E6BA1" w:rsidRDefault="008E6BA1" w:rsidP="008E6BA1">
            <w:pPr>
              <w:autoSpaceDE w:val="0"/>
              <w:autoSpaceDN w:val="0"/>
              <w:adjustRightInd w:val="0"/>
              <w:spacing w:line="288" w:lineRule="auto"/>
              <w:textAlignment w:val="center"/>
              <w:rPr>
                <w:rStyle w:val="Tabelle-Hervorhebungschwarz"/>
                <w:rFonts w:ascii="Titillium Web" w:hAnsi="Titillium Web" w:cs="Titillium Web"/>
                <w:b w:val="0"/>
                <w:bCs w:val="0"/>
                <w:sz w:val="20"/>
                <w:szCs w:val="20"/>
              </w:rPr>
            </w:pPr>
            <w:r w:rsidRPr="008E6BA1">
              <w:rPr>
                <w:rStyle w:val="Tabelle-Hervorhebungschwarz"/>
                <w:rFonts w:ascii="Titillium Web" w:hAnsi="Titillium Web" w:cs="Titillium Web"/>
                <w:b w:val="0"/>
                <w:bCs w:val="0"/>
                <w:sz w:val="20"/>
                <w:szCs w:val="20"/>
              </w:rPr>
              <w:t> 33,00</w:t>
            </w:r>
          </w:p>
        </w:tc>
      </w:tr>
      <w:tr w:rsidR="008E6BA1" w:rsidRPr="004A4EEA" w14:paraId="0C7A28E6" w14:textId="77777777" w:rsidTr="00BA4D23">
        <w:tc>
          <w:tcPr>
            <w:tcW w:w="5022" w:type="dxa"/>
            <w:vAlign w:val="center"/>
          </w:tcPr>
          <w:p w14:paraId="53168D5B" w14:textId="4461AC7F" w:rsidR="008E6BA1" w:rsidRPr="008E6BA1" w:rsidRDefault="008E6BA1" w:rsidP="008E6BA1">
            <w:pPr>
              <w:autoSpaceDE w:val="0"/>
              <w:autoSpaceDN w:val="0"/>
              <w:adjustRightInd w:val="0"/>
              <w:spacing w:line="288" w:lineRule="auto"/>
              <w:textAlignment w:val="center"/>
              <w:rPr>
                <w:rFonts w:ascii="Titillium Web" w:hAnsi="Titillium Web" w:cs="Titillium Web"/>
                <w:color w:val="000000"/>
                <w:sz w:val="18"/>
                <w:szCs w:val="18"/>
              </w:rPr>
            </w:pPr>
            <w:r w:rsidRPr="008E6BA1">
              <w:rPr>
                <w:rFonts w:ascii="Titillium Web" w:hAnsi="Titillium Web" w:cs="Titillium Web"/>
                <w:color w:val="000000"/>
                <w:sz w:val="18"/>
                <w:szCs w:val="18"/>
              </w:rPr>
              <w:t>Mietverlängerungstag (ab dem 181. Tag</w:t>
            </w:r>
            <w:r>
              <w:rPr>
                <w:rFonts w:ascii="Titillium Web" w:hAnsi="Titillium Web" w:cs="Titillium Web"/>
                <w:color w:val="000000"/>
                <w:sz w:val="18"/>
                <w:szCs w:val="18"/>
              </w:rPr>
              <w:t>)</w:t>
            </w:r>
          </w:p>
        </w:tc>
        <w:tc>
          <w:tcPr>
            <w:tcW w:w="1701" w:type="dxa"/>
            <w:vAlign w:val="center"/>
          </w:tcPr>
          <w:p w14:paraId="2339CCE7" w14:textId="67B18AA9" w:rsidR="008E6BA1" w:rsidRPr="008E6BA1" w:rsidRDefault="008E6BA1" w:rsidP="008E6BA1">
            <w:pPr>
              <w:autoSpaceDE w:val="0"/>
              <w:autoSpaceDN w:val="0"/>
              <w:adjustRightInd w:val="0"/>
              <w:spacing w:line="288" w:lineRule="auto"/>
              <w:textAlignment w:val="center"/>
              <w:rPr>
                <w:rStyle w:val="Taballe-Text"/>
                <w:rFonts w:ascii="Titillium Web" w:hAnsi="Titillium Web" w:cs="Titillium Web"/>
                <w:sz w:val="20"/>
                <w:szCs w:val="20"/>
              </w:rPr>
            </w:pPr>
            <w:r w:rsidRPr="008E6BA1">
              <w:rPr>
                <w:rStyle w:val="Taballe-Text"/>
                <w:rFonts w:ascii="Titillium Web" w:hAnsi="Titillium Web" w:cs="Titillium Web"/>
                <w:sz w:val="20"/>
                <w:szCs w:val="20"/>
              </w:rPr>
              <w:t>MC25VT181</w:t>
            </w:r>
          </w:p>
        </w:tc>
        <w:tc>
          <w:tcPr>
            <w:tcW w:w="1980" w:type="dxa"/>
            <w:vAlign w:val="center"/>
          </w:tcPr>
          <w:p w14:paraId="7B768285" w14:textId="21215BE6" w:rsidR="008E6BA1" w:rsidRPr="008E6BA1" w:rsidRDefault="008E6BA1" w:rsidP="008E6BA1">
            <w:pPr>
              <w:autoSpaceDE w:val="0"/>
              <w:autoSpaceDN w:val="0"/>
              <w:adjustRightInd w:val="0"/>
              <w:spacing w:line="288" w:lineRule="auto"/>
              <w:textAlignment w:val="center"/>
              <w:rPr>
                <w:rStyle w:val="Tabelle-Hervorhebungschwarz"/>
                <w:rFonts w:ascii="Titillium Web" w:hAnsi="Titillium Web" w:cs="Titillium Web"/>
                <w:b w:val="0"/>
                <w:bCs w:val="0"/>
                <w:sz w:val="20"/>
                <w:szCs w:val="20"/>
              </w:rPr>
            </w:pPr>
            <w:r w:rsidRPr="008E6BA1">
              <w:rPr>
                <w:rStyle w:val="Tabelle-Hervorhebungschwarz"/>
                <w:rFonts w:ascii="Titillium Web" w:hAnsi="Titillium Web" w:cs="Titillium Web"/>
                <w:b w:val="0"/>
                <w:bCs w:val="0"/>
                <w:sz w:val="20"/>
                <w:szCs w:val="20"/>
              </w:rPr>
              <w:t> 30,00</w:t>
            </w:r>
          </w:p>
        </w:tc>
      </w:tr>
      <w:tr w:rsidR="008E6BA1" w:rsidRPr="004A4EEA" w14:paraId="07690DEF" w14:textId="77777777" w:rsidTr="00BA4D23">
        <w:tc>
          <w:tcPr>
            <w:tcW w:w="5022" w:type="dxa"/>
            <w:vAlign w:val="center"/>
          </w:tcPr>
          <w:p w14:paraId="1DD8FC8C" w14:textId="6C2476D3" w:rsidR="008E6BA1" w:rsidRPr="008E6BA1" w:rsidRDefault="008E6BA1" w:rsidP="008E6BA1">
            <w:pPr>
              <w:autoSpaceDE w:val="0"/>
              <w:autoSpaceDN w:val="0"/>
              <w:adjustRightInd w:val="0"/>
              <w:spacing w:line="288" w:lineRule="auto"/>
              <w:textAlignment w:val="center"/>
              <w:rPr>
                <w:rFonts w:ascii="Titillium Web" w:hAnsi="Titillium Web" w:cs="Titillium Web"/>
                <w:color w:val="000000"/>
                <w:sz w:val="18"/>
                <w:szCs w:val="18"/>
              </w:rPr>
            </w:pPr>
            <w:r w:rsidRPr="008E6BA1">
              <w:rPr>
                <w:rFonts w:ascii="Titillium Web" w:hAnsi="Titillium Web" w:cs="Titillium Web"/>
                <w:color w:val="000000"/>
                <w:sz w:val="18"/>
                <w:szCs w:val="18"/>
              </w:rPr>
              <w:t>Anschluss und Inbetriebnahme (IBN) mobiheat</w:t>
            </w:r>
          </w:p>
        </w:tc>
        <w:tc>
          <w:tcPr>
            <w:tcW w:w="1701" w:type="dxa"/>
            <w:vAlign w:val="center"/>
          </w:tcPr>
          <w:p w14:paraId="285D394A" w14:textId="17CF4C9E" w:rsidR="008E6BA1" w:rsidRPr="008E6BA1" w:rsidRDefault="008E6BA1" w:rsidP="008E6BA1">
            <w:pPr>
              <w:autoSpaceDE w:val="0"/>
              <w:autoSpaceDN w:val="0"/>
              <w:adjustRightInd w:val="0"/>
              <w:spacing w:line="288" w:lineRule="auto"/>
              <w:textAlignment w:val="center"/>
              <w:rPr>
                <w:rStyle w:val="Taballe-Text"/>
                <w:rFonts w:ascii="Titillium Web" w:hAnsi="Titillium Web" w:cs="Titillium Web"/>
                <w:sz w:val="20"/>
                <w:szCs w:val="20"/>
              </w:rPr>
            </w:pPr>
            <w:r w:rsidRPr="008E6BA1">
              <w:rPr>
                <w:rStyle w:val="Taballe-Text"/>
                <w:rFonts w:ascii="Titillium Web" w:hAnsi="Titillium Web" w:cs="Titillium Web"/>
                <w:sz w:val="20"/>
                <w:szCs w:val="20"/>
              </w:rPr>
              <w:t>MCIBN</w:t>
            </w:r>
          </w:p>
        </w:tc>
        <w:tc>
          <w:tcPr>
            <w:tcW w:w="1980" w:type="dxa"/>
            <w:vAlign w:val="center"/>
          </w:tcPr>
          <w:p w14:paraId="1B6B88BA" w14:textId="06BAF682" w:rsidR="008E6BA1" w:rsidRPr="008E6BA1" w:rsidRDefault="008E6BA1" w:rsidP="008E6BA1">
            <w:pPr>
              <w:autoSpaceDE w:val="0"/>
              <w:autoSpaceDN w:val="0"/>
              <w:adjustRightInd w:val="0"/>
              <w:spacing w:line="288" w:lineRule="auto"/>
              <w:textAlignment w:val="center"/>
              <w:rPr>
                <w:rStyle w:val="Tabelle-Hervorhebungschwarz"/>
                <w:rFonts w:ascii="Titillium Web" w:hAnsi="Titillium Web" w:cs="Titillium Web"/>
                <w:b w:val="0"/>
                <w:bCs w:val="0"/>
                <w:sz w:val="20"/>
                <w:szCs w:val="20"/>
              </w:rPr>
            </w:pPr>
            <w:r w:rsidRPr="008E6BA1">
              <w:rPr>
                <w:rStyle w:val="Tabelle-Hervorhebungschwarz"/>
                <w:rFonts w:ascii="Titillium Web" w:hAnsi="Titillium Web" w:cs="Titillium Web"/>
                <w:b w:val="0"/>
                <w:bCs w:val="0"/>
                <w:sz w:val="20"/>
                <w:szCs w:val="20"/>
              </w:rPr>
              <w:t> 2.616,00</w:t>
            </w:r>
          </w:p>
        </w:tc>
      </w:tr>
      <w:tr w:rsidR="007367D9" w:rsidRPr="004A4EEA" w14:paraId="25B06664" w14:textId="77777777" w:rsidTr="00641C7A">
        <w:tc>
          <w:tcPr>
            <w:tcW w:w="8703" w:type="dxa"/>
            <w:gridSpan w:val="3"/>
          </w:tcPr>
          <w:p w14:paraId="388A1E12" w14:textId="78CCC9B6" w:rsidR="007367D9" w:rsidRPr="008165DD" w:rsidRDefault="007367D9" w:rsidP="0054389C">
            <w:pPr>
              <w:rPr>
                <w:rFonts w:ascii="Titillium Web" w:hAnsi="Titillium Web"/>
                <w:sz w:val="10"/>
                <w:szCs w:val="10"/>
              </w:rPr>
            </w:pPr>
          </w:p>
        </w:tc>
      </w:tr>
      <w:tr w:rsidR="00210099" w:rsidRPr="004A4EEA" w14:paraId="62FFB92A" w14:textId="77777777" w:rsidTr="0058635A">
        <w:tc>
          <w:tcPr>
            <w:tcW w:w="5022" w:type="dxa"/>
            <w:vAlign w:val="center"/>
          </w:tcPr>
          <w:p w14:paraId="012CC988" w14:textId="5EDBBAA5" w:rsidR="00210099" w:rsidRPr="008165DD" w:rsidRDefault="00210099" w:rsidP="00D610BC">
            <w:pPr>
              <w:autoSpaceDE w:val="0"/>
              <w:autoSpaceDN w:val="0"/>
              <w:adjustRightInd w:val="0"/>
              <w:spacing w:line="288" w:lineRule="auto"/>
              <w:textAlignment w:val="center"/>
              <w:rPr>
                <w:rFonts w:ascii="Titillium Web" w:hAnsi="Titillium Web" w:cs="Titillium Web"/>
                <w:color w:val="000000"/>
                <w:sz w:val="20"/>
                <w:szCs w:val="20"/>
              </w:rPr>
            </w:pPr>
            <w:r w:rsidRPr="00D610BC">
              <w:rPr>
                <w:rFonts w:ascii="Titillium Web" w:hAnsi="Titillium Web" w:cs="Titillium Web"/>
                <w:color w:val="000000"/>
                <w:sz w:val="20"/>
                <w:szCs w:val="20"/>
              </w:rPr>
              <w:t xml:space="preserve">Zubehör </w:t>
            </w:r>
          </w:p>
        </w:tc>
        <w:tc>
          <w:tcPr>
            <w:tcW w:w="3681" w:type="dxa"/>
            <w:gridSpan w:val="2"/>
            <w:vAlign w:val="center"/>
          </w:tcPr>
          <w:p w14:paraId="5382FBB9" w14:textId="1761172F" w:rsidR="00210099" w:rsidRPr="00210099" w:rsidRDefault="00210099" w:rsidP="004A4EEA">
            <w:pPr>
              <w:rPr>
                <w:rFonts w:ascii="Titillium Web" w:hAnsi="Titillium Web"/>
                <w:sz w:val="20"/>
                <w:szCs w:val="20"/>
              </w:rPr>
            </w:pPr>
            <w:r w:rsidRPr="00210099">
              <w:rPr>
                <w:rFonts w:ascii="Titillium Web" w:hAnsi="Titillium Web"/>
                <w:sz w:val="20"/>
                <w:szCs w:val="20"/>
              </w:rPr>
              <w:t>RG DL Zubehör</w:t>
            </w:r>
          </w:p>
        </w:tc>
      </w:tr>
      <w:tr w:rsidR="008E6BA1" w:rsidRPr="004A4EEA" w14:paraId="46C5DD63" w14:textId="77777777" w:rsidTr="00BA4D23">
        <w:tc>
          <w:tcPr>
            <w:tcW w:w="5022" w:type="dxa"/>
            <w:vAlign w:val="center"/>
          </w:tcPr>
          <w:p w14:paraId="5A443030" w14:textId="017D07DB" w:rsidR="008E6BA1" w:rsidRPr="008E6BA1" w:rsidRDefault="008E6BA1" w:rsidP="008E6BA1">
            <w:pPr>
              <w:autoSpaceDE w:val="0"/>
              <w:autoSpaceDN w:val="0"/>
              <w:adjustRightInd w:val="0"/>
              <w:textAlignment w:val="center"/>
              <w:rPr>
                <w:rFonts w:ascii="Titillium Web" w:hAnsi="Titillium Web" w:cs="Titillium Web"/>
                <w:color w:val="000000"/>
                <w:sz w:val="20"/>
                <w:szCs w:val="20"/>
              </w:rPr>
            </w:pPr>
            <w:r w:rsidRPr="008E6BA1">
              <w:rPr>
                <w:rStyle w:val="Taballe-Text"/>
                <w:rFonts w:ascii="Titillium Web" w:hAnsi="Titillium Web" w:cs="Titillium Web"/>
                <w:sz w:val="20"/>
                <w:szCs w:val="20"/>
              </w:rPr>
              <w:t>Verlängerung der Anbindeleitung 2 ´´ VL/RL, je 10 m (Pauschale für 7 Tage)</w:t>
            </w:r>
          </w:p>
        </w:tc>
        <w:tc>
          <w:tcPr>
            <w:tcW w:w="1701" w:type="dxa"/>
            <w:vAlign w:val="center"/>
          </w:tcPr>
          <w:p w14:paraId="04F97AC2" w14:textId="6BF07A5E" w:rsidR="008E6BA1" w:rsidRPr="008E6BA1" w:rsidRDefault="008E6BA1" w:rsidP="008E6BA1">
            <w:pPr>
              <w:autoSpaceDE w:val="0"/>
              <w:autoSpaceDN w:val="0"/>
              <w:adjustRightInd w:val="0"/>
              <w:spacing w:line="288" w:lineRule="auto"/>
              <w:textAlignment w:val="center"/>
              <w:rPr>
                <w:rFonts w:ascii="Titillium Web" w:hAnsi="Titillium Web" w:cs="Titillium Web"/>
                <w:color w:val="000000"/>
                <w:sz w:val="20"/>
                <w:szCs w:val="20"/>
              </w:rPr>
            </w:pPr>
            <w:r w:rsidRPr="008E6BA1">
              <w:rPr>
                <w:rStyle w:val="Taballe-Text"/>
                <w:rFonts w:ascii="Titillium Web" w:hAnsi="Titillium Web" w:cs="Titillium Web"/>
                <w:sz w:val="20"/>
                <w:szCs w:val="20"/>
              </w:rPr>
              <w:t>MCABLC7</w:t>
            </w:r>
          </w:p>
        </w:tc>
        <w:tc>
          <w:tcPr>
            <w:tcW w:w="1980" w:type="dxa"/>
            <w:vAlign w:val="center"/>
          </w:tcPr>
          <w:p w14:paraId="71E7055E" w14:textId="4597AEB1" w:rsidR="008E6BA1" w:rsidRPr="008E6BA1" w:rsidRDefault="008E6BA1" w:rsidP="008E6BA1">
            <w:pPr>
              <w:rPr>
                <w:rFonts w:ascii="Titillium Web" w:hAnsi="Titillium Web"/>
                <w:sz w:val="20"/>
                <w:szCs w:val="20"/>
              </w:rPr>
            </w:pPr>
            <w:r w:rsidRPr="008E6BA1">
              <w:rPr>
                <w:rStyle w:val="Tabelle-Hervorhebungschwarz"/>
                <w:rFonts w:ascii="Titillium Web" w:hAnsi="Titillium Web" w:cs="Titillium Web"/>
                <w:b w:val="0"/>
                <w:bCs w:val="0"/>
                <w:sz w:val="20"/>
                <w:szCs w:val="20"/>
              </w:rPr>
              <w:t> 12,00</w:t>
            </w:r>
          </w:p>
        </w:tc>
      </w:tr>
      <w:tr w:rsidR="008E6BA1" w:rsidRPr="004A4EEA" w14:paraId="4D5DC1FB" w14:textId="77777777" w:rsidTr="00BA4D23">
        <w:tc>
          <w:tcPr>
            <w:tcW w:w="5022" w:type="dxa"/>
            <w:vAlign w:val="center"/>
          </w:tcPr>
          <w:p w14:paraId="3C7044D2" w14:textId="3F8A3324" w:rsidR="008E6BA1" w:rsidRPr="008E6BA1" w:rsidRDefault="008E6BA1" w:rsidP="008E6BA1">
            <w:pPr>
              <w:autoSpaceDE w:val="0"/>
              <w:autoSpaceDN w:val="0"/>
              <w:adjustRightInd w:val="0"/>
              <w:textAlignment w:val="center"/>
              <w:rPr>
                <w:rFonts w:ascii="Titillium Web" w:hAnsi="Titillium Web" w:cs="Titillium Web"/>
                <w:color w:val="000000"/>
                <w:sz w:val="20"/>
                <w:szCs w:val="20"/>
              </w:rPr>
            </w:pPr>
            <w:r w:rsidRPr="008E6BA1">
              <w:rPr>
                <w:rStyle w:val="Taballe-Text"/>
                <w:rFonts w:ascii="Titillium Web" w:hAnsi="Titillium Web" w:cs="Titillium Web"/>
                <w:sz w:val="20"/>
                <w:szCs w:val="20"/>
              </w:rPr>
              <w:t>Verlängerung der Anbindeleitung 2 ´´ VL/RL, je 10 m (Pauschale für 30 Tage)</w:t>
            </w:r>
          </w:p>
        </w:tc>
        <w:tc>
          <w:tcPr>
            <w:tcW w:w="1701" w:type="dxa"/>
            <w:vAlign w:val="center"/>
          </w:tcPr>
          <w:p w14:paraId="3A0CF6EB" w14:textId="1F83AAA8" w:rsidR="008E6BA1" w:rsidRPr="008E6BA1" w:rsidRDefault="008E6BA1" w:rsidP="008E6BA1">
            <w:pPr>
              <w:autoSpaceDE w:val="0"/>
              <w:autoSpaceDN w:val="0"/>
              <w:adjustRightInd w:val="0"/>
              <w:spacing w:line="288" w:lineRule="auto"/>
              <w:textAlignment w:val="center"/>
              <w:rPr>
                <w:rFonts w:ascii="Titillium Web" w:hAnsi="Titillium Web" w:cs="Titillium Web"/>
                <w:color w:val="000000"/>
                <w:sz w:val="20"/>
                <w:szCs w:val="20"/>
              </w:rPr>
            </w:pPr>
            <w:r w:rsidRPr="008E6BA1">
              <w:rPr>
                <w:rStyle w:val="Taballe-Text"/>
                <w:rFonts w:ascii="Titillium Web" w:hAnsi="Titillium Web" w:cs="Titillium Web"/>
                <w:sz w:val="20"/>
                <w:szCs w:val="20"/>
              </w:rPr>
              <w:t>MCABLC30</w:t>
            </w:r>
          </w:p>
        </w:tc>
        <w:tc>
          <w:tcPr>
            <w:tcW w:w="1980" w:type="dxa"/>
            <w:vAlign w:val="center"/>
          </w:tcPr>
          <w:p w14:paraId="1E696BEA" w14:textId="6132F951" w:rsidR="008E6BA1" w:rsidRPr="008E6BA1" w:rsidRDefault="008E6BA1" w:rsidP="008E6BA1">
            <w:pPr>
              <w:rPr>
                <w:rStyle w:val="Tabelle-Hervorhebungschwarz"/>
                <w:rFonts w:ascii="Titillium Web" w:hAnsi="Titillium Web" w:cs="Titillium Web"/>
                <w:b w:val="0"/>
                <w:bCs w:val="0"/>
                <w:sz w:val="20"/>
                <w:szCs w:val="20"/>
              </w:rPr>
            </w:pPr>
            <w:r w:rsidRPr="008E6BA1">
              <w:rPr>
                <w:rStyle w:val="Tabelle-Hervorhebungschwarz"/>
                <w:rFonts w:ascii="Titillium Web" w:hAnsi="Titillium Web" w:cs="Titillium Web"/>
                <w:b w:val="0"/>
                <w:bCs w:val="0"/>
                <w:sz w:val="20"/>
                <w:szCs w:val="20"/>
              </w:rPr>
              <w:t> 48,00</w:t>
            </w:r>
          </w:p>
        </w:tc>
      </w:tr>
    </w:tbl>
    <w:p w14:paraId="0B47769B" w14:textId="77777777" w:rsidR="00BA4D23" w:rsidRDefault="00BA4D23" w:rsidP="00BA4D23">
      <w:pPr>
        <w:autoSpaceDE w:val="0"/>
        <w:autoSpaceDN w:val="0"/>
        <w:adjustRightInd w:val="0"/>
        <w:spacing w:after="0" w:line="288" w:lineRule="auto"/>
        <w:textAlignment w:val="center"/>
        <w:rPr>
          <w:rFonts w:ascii="Titillium Web" w:hAnsi="Titillium Web" w:cs="Titillium Web"/>
          <w:i/>
          <w:iCs/>
          <w:color w:val="000000"/>
          <w:sz w:val="16"/>
          <w:szCs w:val="16"/>
        </w:rPr>
      </w:pPr>
    </w:p>
    <w:p w14:paraId="4058E86E" w14:textId="77777777" w:rsidR="007367D9" w:rsidRPr="004A4EEA" w:rsidRDefault="007367D9" w:rsidP="008C06DB">
      <w:pPr>
        <w:spacing w:line="240" w:lineRule="auto"/>
        <w:rPr>
          <w:rFonts w:ascii="Titillium Web" w:hAnsi="Titillium Web"/>
          <w:sz w:val="20"/>
          <w:szCs w:val="20"/>
        </w:rPr>
      </w:pPr>
    </w:p>
    <w:sectPr w:rsidR="007367D9" w:rsidRPr="004A4EEA" w:rsidSect="00864D2E">
      <w:headerReference w:type="default" r:id="rId8"/>
      <w:pgSz w:w="11906" w:h="16838"/>
      <w:pgMar w:top="1843" w:right="1416"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862D38" w14:textId="77777777" w:rsidR="007612CA" w:rsidRDefault="007612CA" w:rsidP="007612CA">
      <w:pPr>
        <w:spacing w:after="0" w:line="240" w:lineRule="auto"/>
      </w:pPr>
      <w:r>
        <w:separator/>
      </w:r>
    </w:p>
  </w:endnote>
  <w:endnote w:type="continuationSeparator" w:id="0">
    <w:p w14:paraId="354C7009" w14:textId="77777777" w:rsidR="007612CA" w:rsidRDefault="007612CA" w:rsidP="0076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eb">
    <w:panose1 w:val="00000500000000000000"/>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Dax Offc Pro">
    <w:panose1 w:val="020B0504030101020102"/>
    <w:charset w:val="00"/>
    <w:family w:val="swiss"/>
    <w:pitch w:val="variable"/>
    <w:sig w:usb0="A00002BF" w:usb1="4000A4FB" w:usb2="00000000" w:usb3="00000000" w:csb0="0000009F" w:csb1="00000000"/>
  </w:font>
  <w:font w:name="Minion Pro">
    <w:panose1 w:val="02040703060306020203"/>
    <w:charset w:val="00"/>
    <w:family w:val="roman"/>
    <w:notTrueType/>
    <w:pitch w:val="variable"/>
    <w:sig w:usb0="60000287" w:usb1="00000001" w:usb2="00000000" w:usb3="00000000" w:csb0="0000019F" w:csb1="00000000"/>
  </w:font>
  <w:font w:name="Dax Offc Pro (TT)">
    <w:altName w:val="Dax Offc Pro"/>
    <w:panose1 w:val="00000000000000000000"/>
    <w:charset w:val="00"/>
    <w:family w:val="auto"/>
    <w:notTrueType/>
    <w:pitch w:val="default"/>
    <w:sig w:usb0="00000003" w:usb1="00000000" w:usb2="00000000" w:usb3="00000000" w:csb0="00000001" w:csb1="00000000"/>
  </w:font>
  <w:font w:name="Dax Offc Pro (TT) Bold">
    <w:altName w:val="Dax Offc Pro"/>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EC03B" w14:textId="77777777" w:rsidR="007612CA" w:rsidRDefault="007612CA" w:rsidP="007612CA">
      <w:pPr>
        <w:spacing w:after="0" w:line="240" w:lineRule="auto"/>
      </w:pPr>
      <w:r>
        <w:separator/>
      </w:r>
    </w:p>
  </w:footnote>
  <w:footnote w:type="continuationSeparator" w:id="0">
    <w:p w14:paraId="5736900C" w14:textId="77777777" w:rsidR="007612CA" w:rsidRDefault="007612CA" w:rsidP="00761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46C4A" w14:textId="074B3F25" w:rsidR="007612CA" w:rsidRDefault="009D2A9B" w:rsidP="007612CA">
    <w:pPr>
      <w:pStyle w:val="Kopfzeile"/>
      <w:ind w:hanging="1417"/>
    </w:pPr>
    <w:r>
      <w:rPr>
        <w:noProof/>
      </w:rPr>
      <w:drawing>
        <wp:inline distT="0" distB="0" distL="0" distR="0" wp14:anchorId="1BE228E5" wp14:editId="4A5D374F">
          <wp:extent cx="7553325" cy="898175"/>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6722" cy="9021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D2D75"/>
    <w:multiLevelType w:val="hybridMultilevel"/>
    <w:tmpl w:val="413E5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F908D1"/>
    <w:multiLevelType w:val="hybridMultilevel"/>
    <w:tmpl w:val="E79CCE5C"/>
    <w:lvl w:ilvl="0" w:tplc="B1E64426">
      <w:numFmt w:val="bullet"/>
      <w:lvlText w:val="•"/>
      <w:lvlJc w:val="left"/>
      <w:pPr>
        <w:ind w:left="1080" w:hanging="360"/>
      </w:pPr>
      <w:rPr>
        <w:rFonts w:ascii="Titillium Web" w:eastAsiaTheme="minorHAnsi" w:hAnsi="Titillium Web" w:cs="Titillium Web"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9A33B31"/>
    <w:multiLevelType w:val="hybridMultilevel"/>
    <w:tmpl w:val="0088CD5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EF4E6F"/>
    <w:multiLevelType w:val="hybridMultilevel"/>
    <w:tmpl w:val="674C6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2C5CD0"/>
    <w:multiLevelType w:val="hybridMultilevel"/>
    <w:tmpl w:val="B120A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E824C1"/>
    <w:multiLevelType w:val="hybridMultilevel"/>
    <w:tmpl w:val="54A6C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D44453"/>
    <w:multiLevelType w:val="hybridMultilevel"/>
    <w:tmpl w:val="D26055A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2D8C21BD"/>
    <w:multiLevelType w:val="hybridMultilevel"/>
    <w:tmpl w:val="20164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1B6835"/>
    <w:multiLevelType w:val="hybridMultilevel"/>
    <w:tmpl w:val="FF644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2A2DFC"/>
    <w:multiLevelType w:val="hybridMultilevel"/>
    <w:tmpl w:val="BA2CC91A"/>
    <w:lvl w:ilvl="0" w:tplc="B1E64426">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E862C08"/>
    <w:multiLevelType w:val="hybridMultilevel"/>
    <w:tmpl w:val="EF821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04561C"/>
    <w:multiLevelType w:val="hybridMultilevel"/>
    <w:tmpl w:val="F11412E8"/>
    <w:lvl w:ilvl="0" w:tplc="B1E64426">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9C77C6E"/>
    <w:multiLevelType w:val="hybridMultilevel"/>
    <w:tmpl w:val="C28C1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652F5F"/>
    <w:multiLevelType w:val="hybridMultilevel"/>
    <w:tmpl w:val="184EB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F03536"/>
    <w:multiLevelType w:val="hybridMultilevel"/>
    <w:tmpl w:val="34D8B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3E7E0C"/>
    <w:multiLevelType w:val="hybridMultilevel"/>
    <w:tmpl w:val="F1D87D30"/>
    <w:lvl w:ilvl="0" w:tplc="4F92F5D8">
      <w:numFmt w:val="bullet"/>
      <w:lvlText w:val="-"/>
      <w:lvlJc w:val="left"/>
      <w:pPr>
        <w:ind w:left="720" w:hanging="360"/>
      </w:pPr>
      <w:rPr>
        <w:rFonts w:ascii="Titillium Web" w:eastAsiaTheme="minorHAnsi" w:hAnsi="Titillium Web" w:cs="Titillium Web"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823C20"/>
    <w:multiLevelType w:val="hybridMultilevel"/>
    <w:tmpl w:val="D07A754E"/>
    <w:lvl w:ilvl="0" w:tplc="B1E64426">
      <w:numFmt w:val="bullet"/>
      <w:lvlText w:val="•"/>
      <w:lvlJc w:val="left"/>
      <w:pPr>
        <w:ind w:left="720" w:hanging="360"/>
      </w:pPr>
      <w:rPr>
        <w:rFonts w:ascii="Titillium Web" w:eastAsiaTheme="minorHAnsi" w:hAnsi="Titillium Web" w:cs="Titillium Web"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D10214"/>
    <w:multiLevelType w:val="hybridMultilevel"/>
    <w:tmpl w:val="C1544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8861182"/>
    <w:multiLevelType w:val="hybridMultilevel"/>
    <w:tmpl w:val="CF767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A0200E"/>
    <w:multiLevelType w:val="hybridMultilevel"/>
    <w:tmpl w:val="EBEC48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5"/>
  </w:num>
  <w:num w:numId="4">
    <w:abstractNumId w:val="10"/>
  </w:num>
  <w:num w:numId="5">
    <w:abstractNumId w:val="19"/>
  </w:num>
  <w:num w:numId="6">
    <w:abstractNumId w:val="4"/>
  </w:num>
  <w:num w:numId="7">
    <w:abstractNumId w:val="13"/>
  </w:num>
  <w:num w:numId="8">
    <w:abstractNumId w:val="3"/>
  </w:num>
  <w:num w:numId="9">
    <w:abstractNumId w:val="12"/>
  </w:num>
  <w:num w:numId="10">
    <w:abstractNumId w:val="9"/>
  </w:num>
  <w:num w:numId="11">
    <w:abstractNumId w:val="1"/>
  </w:num>
  <w:num w:numId="12">
    <w:abstractNumId w:val="6"/>
  </w:num>
  <w:num w:numId="13">
    <w:abstractNumId w:val="7"/>
  </w:num>
  <w:num w:numId="14">
    <w:abstractNumId w:val="18"/>
  </w:num>
  <w:num w:numId="15">
    <w:abstractNumId w:val="11"/>
  </w:num>
  <w:num w:numId="16">
    <w:abstractNumId w:val="16"/>
  </w:num>
  <w:num w:numId="17">
    <w:abstractNumId w:val="2"/>
  </w:num>
  <w:num w:numId="18">
    <w:abstractNumId w:val="8"/>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2CA"/>
    <w:rsid w:val="00001FEB"/>
    <w:rsid w:val="00017326"/>
    <w:rsid w:val="0007570C"/>
    <w:rsid w:val="00114CB7"/>
    <w:rsid w:val="0012033A"/>
    <w:rsid w:val="00196C33"/>
    <w:rsid w:val="001A7B71"/>
    <w:rsid w:val="00210099"/>
    <w:rsid w:val="003717CC"/>
    <w:rsid w:val="003A6D82"/>
    <w:rsid w:val="003C1AD4"/>
    <w:rsid w:val="004A4EEA"/>
    <w:rsid w:val="007367D9"/>
    <w:rsid w:val="007612CA"/>
    <w:rsid w:val="008165DD"/>
    <w:rsid w:val="00864D2E"/>
    <w:rsid w:val="008C06DB"/>
    <w:rsid w:val="008E6BA1"/>
    <w:rsid w:val="00914D83"/>
    <w:rsid w:val="00925707"/>
    <w:rsid w:val="009760AD"/>
    <w:rsid w:val="009C0BA9"/>
    <w:rsid w:val="009D2A9B"/>
    <w:rsid w:val="00B05BDE"/>
    <w:rsid w:val="00B7246D"/>
    <w:rsid w:val="00BA4D23"/>
    <w:rsid w:val="00C44C3A"/>
    <w:rsid w:val="00CF462D"/>
    <w:rsid w:val="00D1090B"/>
    <w:rsid w:val="00D47288"/>
    <w:rsid w:val="00D610BC"/>
    <w:rsid w:val="00DB66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B0F282"/>
  <w15:chartTrackingRefBased/>
  <w15:docId w15:val="{40E691FB-87F7-4FDB-8772-46E79B3E1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12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12CA"/>
  </w:style>
  <w:style w:type="paragraph" w:styleId="Fuzeile">
    <w:name w:val="footer"/>
    <w:basedOn w:val="Standard"/>
    <w:link w:val="FuzeileZchn"/>
    <w:uiPriority w:val="99"/>
    <w:unhideWhenUsed/>
    <w:rsid w:val="007612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12CA"/>
  </w:style>
  <w:style w:type="paragraph" w:customStyle="1" w:styleId="Fliestext-Eigenschaften">
    <w:name w:val="Fliestext - Eigenschaften"/>
    <w:basedOn w:val="Standard"/>
    <w:uiPriority w:val="99"/>
    <w:rsid w:val="009D2A9B"/>
    <w:pPr>
      <w:autoSpaceDE w:val="0"/>
      <w:autoSpaceDN w:val="0"/>
      <w:adjustRightInd w:val="0"/>
      <w:spacing w:after="0" w:line="260" w:lineRule="atLeast"/>
      <w:textAlignment w:val="center"/>
    </w:pPr>
    <w:rPr>
      <w:rFonts w:ascii="Dax Offc Pro" w:hAnsi="Dax Offc Pro" w:cs="Dax Offc Pro"/>
      <w:color w:val="000000"/>
      <w:sz w:val="18"/>
      <w:szCs w:val="18"/>
    </w:rPr>
  </w:style>
  <w:style w:type="paragraph" w:styleId="Listenabsatz">
    <w:name w:val="List Paragraph"/>
    <w:basedOn w:val="Standard"/>
    <w:uiPriority w:val="34"/>
    <w:qFormat/>
    <w:rsid w:val="008C06DB"/>
    <w:pPr>
      <w:ind w:left="720"/>
      <w:contextualSpacing/>
    </w:pPr>
  </w:style>
  <w:style w:type="table" w:styleId="Tabellenraster">
    <w:name w:val="Table Grid"/>
    <w:basedOn w:val="NormaleTabelle"/>
    <w:uiPriority w:val="39"/>
    <w:rsid w:val="008C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fAbs">
    <w:name w:val="[Einf. Abs.]"/>
    <w:basedOn w:val="Standard"/>
    <w:uiPriority w:val="99"/>
    <w:rsid w:val="00017326"/>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Tabelle-TextgmitAufzhlung">
    <w:name w:val="Tabelle - Text gmit Aufzählung"/>
    <w:basedOn w:val="Standard"/>
    <w:uiPriority w:val="99"/>
    <w:rsid w:val="00017326"/>
    <w:pPr>
      <w:autoSpaceDE w:val="0"/>
      <w:autoSpaceDN w:val="0"/>
      <w:adjustRightInd w:val="0"/>
      <w:spacing w:after="0" w:line="260" w:lineRule="atLeast"/>
      <w:textAlignment w:val="center"/>
    </w:pPr>
    <w:rPr>
      <w:rFonts w:ascii="Dax Offc Pro (TT)" w:hAnsi="Dax Offc Pro (TT)" w:cs="Dax Offc Pro (TT)"/>
      <w:color w:val="000000"/>
      <w:sz w:val="18"/>
      <w:szCs w:val="18"/>
    </w:rPr>
  </w:style>
  <w:style w:type="character" w:customStyle="1" w:styleId="Taballe-Text">
    <w:name w:val="Taballe - Text"/>
    <w:uiPriority w:val="99"/>
    <w:rsid w:val="00017326"/>
    <w:rPr>
      <w:rFonts w:ascii="Dax Offc Pro (TT)" w:hAnsi="Dax Offc Pro (TT)" w:cs="Dax Offc Pro (TT)"/>
      <w:sz w:val="18"/>
      <w:szCs w:val="18"/>
    </w:rPr>
  </w:style>
  <w:style w:type="character" w:customStyle="1" w:styleId="Tabelle-Hervorhebungschwarz">
    <w:name w:val="Tabelle - Hervorhebung schwarz"/>
    <w:uiPriority w:val="99"/>
    <w:rsid w:val="00114CB7"/>
    <w:rPr>
      <w:rFonts w:ascii="Dax Offc Pro (TT) Bold" w:hAnsi="Dax Offc Pro (TT) Bold" w:cs="Dax Offc Pro (TT) Bold"/>
      <w:b/>
      <w:bCs/>
      <w:spacing w:val="0"/>
      <w:sz w:val="18"/>
      <w:szCs w:val="18"/>
    </w:rPr>
  </w:style>
  <w:style w:type="character" w:customStyle="1" w:styleId="Tabelle-Hervorhebungwei">
    <w:name w:val="Tabelle - Hervorhebung weiß"/>
    <w:uiPriority w:val="99"/>
    <w:rsid w:val="00D47288"/>
    <w:rPr>
      <w:b/>
      <w:bCs/>
      <w:color w:val="FFFFFF"/>
      <w:spacing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38672-25AD-43CB-9EB4-69640B874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Mayer</dc:creator>
  <cp:keywords/>
  <dc:description/>
  <cp:lastModifiedBy>Anna-Lena Radloff</cp:lastModifiedBy>
  <cp:revision>4</cp:revision>
  <dcterms:created xsi:type="dcterms:W3CDTF">2021-02-23T15:02:00Z</dcterms:created>
  <dcterms:modified xsi:type="dcterms:W3CDTF">2021-02-24T08:46:00Z</dcterms:modified>
</cp:coreProperties>
</file>