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A915" w14:textId="1CB9C365" w:rsidR="008C06DB" w:rsidRPr="007367D9" w:rsidRDefault="009D2A9B" w:rsidP="009D2A9B">
      <w:pPr>
        <w:spacing w:line="240" w:lineRule="auto"/>
        <w:rPr>
          <w:rFonts w:ascii="Titillium Web" w:hAnsi="Titillium Web"/>
          <w:b/>
          <w:bCs/>
        </w:rPr>
      </w:pPr>
      <w:r w:rsidRPr="007367D9">
        <w:rPr>
          <w:rFonts w:ascii="Titillium Web" w:hAnsi="Titillium Web"/>
          <w:b/>
          <w:bCs/>
        </w:rPr>
        <w:t xml:space="preserve">Mobiheat </w:t>
      </w:r>
      <w:r w:rsidR="00B05BDE">
        <w:rPr>
          <w:rFonts w:ascii="Titillium Web" w:hAnsi="Titillium Web"/>
          <w:b/>
          <w:bCs/>
        </w:rPr>
        <w:t>MH19.2Q1</w:t>
      </w:r>
      <w:r w:rsidR="007367D9">
        <w:rPr>
          <w:rFonts w:ascii="Titillium Web" w:hAnsi="Titillium Web"/>
          <w:b/>
          <w:bCs/>
        </w:rPr>
        <w:t xml:space="preserve"> | </w:t>
      </w:r>
      <w:r w:rsidR="00B05BDE">
        <w:rPr>
          <w:rFonts w:ascii="Titillium Web" w:hAnsi="Titillium Web"/>
          <w:b/>
          <w:bCs/>
        </w:rPr>
        <w:t>3/11/19 kW Elektroheizmobil</w:t>
      </w:r>
    </w:p>
    <w:p w14:paraId="4DEBE007" w14:textId="1C7A4A69" w:rsidR="008C06DB" w:rsidRDefault="008C06DB" w:rsidP="008C06DB">
      <w:pPr>
        <w:pStyle w:val="Fliestext-Eigenschaften"/>
        <w:rPr>
          <w:rFonts w:ascii="Titillium Web" w:hAnsi="Titillium Web" w:cs="Titillium Web"/>
          <w:sz w:val="20"/>
          <w:szCs w:val="20"/>
        </w:rPr>
      </w:pPr>
      <w:r>
        <w:rPr>
          <w:rFonts w:ascii="Titillium Web" w:hAnsi="Titillium Web" w:cs="Titillium Web"/>
          <w:sz w:val="20"/>
          <w:szCs w:val="20"/>
        </w:rPr>
        <w:t>Eigenschaften</w:t>
      </w:r>
    </w:p>
    <w:p w14:paraId="7B9FAD5B" w14:textId="77777777" w:rsidR="00017326" w:rsidRDefault="00017326" w:rsidP="00017326">
      <w:pPr>
        <w:pStyle w:val="EinfAbs"/>
        <w:spacing w:line="240" w:lineRule="auto"/>
        <w:rPr>
          <w:rFonts w:ascii="Titillium Web" w:hAnsi="Titillium Web" w:cs="Titillium Web"/>
          <w:sz w:val="20"/>
          <w:szCs w:val="20"/>
        </w:rPr>
      </w:pPr>
      <w:r>
        <w:rPr>
          <w:rFonts w:ascii="Titillium Web" w:hAnsi="Titillium Web" w:cs="Titillium Web"/>
          <w:sz w:val="20"/>
          <w:szCs w:val="20"/>
        </w:rPr>
        <w:t>Das Elektroheizmobil MH19.2Q1 ist eine kompakte und voll funktionsfähige mobile Elektroheizzentrale für den universellen Einsatz bei Heizungsstörungen als Notheizung sowie bei Arbeiten am Wärmeerzeuger, zur Frostsicherung, zur Estrichaufheizung (Standardprogramme nach DIN EN 1264-4 für Belegreifheizen und Funktionsheizen) oder zur Vorsorge/Erstaufheizung z. B. zur Vermeidung der Vereisung bei einer Erdwärmepumpe und Luftwärmepumpe.</w:t>
      </w:r>
    </w:p>
    <w:p w14:paraId="37CA6F86" w14:textId="77777777" w:rsidR="00017326" w:rsidRDefault="00017326" w:rsidP="00017326">
      <w:pPr>
        <w:pStyle w:val="EinfAbs"/>
        <w:spacing w:line="240" w:lineRule="auto"/>
        <w:rPr>
          <w:rFonts w:ascii="Titillium Web" w:hAnsi="Titillium Web" w:cs="Titillium Web"/>
          <w:sz w:val="20"/>
          <w:szCs w:val="20"/>
        </w:rPr>
      </w:pPr>
      <w:r>
        <w:rPr>
          <w:rFonts w:ascii="Titillium Web" w:hAnsi="Titillium Web" w:cs="Titillium Web"/>
          <w:sz w:val="20"/>
          <w:szCs w:val="20"/>
        </w:rPr>
        <w:t>Bitte beachten Sie, dass bei der Estrichaufheizung im Regelfall mindestens 100 W/m</w:t>
      </w:r>
      <w:r>
        <w:rPr>
          <w:rFonts w:ascii="Titillium Web" w:hAnsi="Titillium Web" w:cs="Titillium Web"/>
          <w:sz w:val="20"/>
          <w:szCs w:val="20"/>
          <w:vertAlign w:val="superscript"/>
        </w:rPr>
        <w:t>2</w:t>
      </w:r>
      <w:r>
        <w:rPr>
          <w:rFonts w:ascii="Titillium Web" w:hAnsi="Titillium Web" w:cs="Titillium Web"/>
          <w:sz w:val="20"/>
          <w:szCs w:val="20"/>
        </w:rPr>
        <w:t xml:space="preserve"> oder mehr an Leistung benötigt wird!</w:t>
      </w:r>
    </w:p>
    <w:p w14:paraId="6BCB22EF" w14:textId="6DA57252" w:rsidR="00017326" w:rsidRDefault="00017326" w:rsidP="00017326">
      <w:pPr>
        <w:pStyle w:val="EinfAbs"/>
        <w:spacing w:line="240" w:lineRule="auto"/>
        <w:rPr>
          <w:rFonts w:ascii="Titillium Web" w:hAnsi="Titillium Web" w:cs="Titillium Web"/>
          <w:sz w:val="20"/>
          <w:szCs w:val="20"/>
        </w:rPr>
      </w:pPr>
      <w:r>
        <w:rPr>
          <w:rFonts w:ascii="Titillium Web" w:hAnsi="Titillium Web" w:cs="Titillium Web"/>
          <w:sz w:val="20"/>
          <w:szCs w:val="20"/>
        </w:rPr>
        <w:t xml:space="preserve">Jeder Stromanschluss möglich – die Heizleistung </w:t>
      </w:r>
      <w:r>
        <w:rPr>
          <w:rFonts w:ascii="Titillium Web" w:hAnsi="Titillium Web" w:cs="Titillium Web"/>
          <w:sz w:val="20"/>
          <w:szCs w:val="20"/>
        </w:rPr>
        <w:br/>
        <w:t>(3/11/19 kW) passt sich entsprechend an.</w:t>
      </w:r>
    </w:p>
    <w:p w14:paraId="6B082854" w14:textId="77777777" w:rsidR="00017326" w:rsidRDefault="00017326" w:rsidP="00017326">
      <w:pPr>
        <w:pStyle w:val="EinfAbs"/>
        <w:rPr>
          <w:rFonts w:ascii="Titillium Web" w:hAnsi="Titillium Web" w:cs="Titillium Web"/>
          <w:sz w:val="20"/>
          <w:szCs w:val="20"/>
        </w:rPr>
      </w:pPr>
      <w:r>
        <w:rPr>
          <w:rFonts w:ascii="Titillium Web" w:hAnsi="Titillium Web" w:cs="Titillium Web"/>
          <w:sz w:val="20"/>
          <w:szCs w:val="20"/>
        </w:rPr>
        <w:t>Das MH19.2Q1 dient zum Heizbetrieb oder zum Aufheizen von Estrichflächen. Aufgrund der Außentemperatur variiert die beheizbare Größe der Estrichfläche (m</w:t>
      </w:r>
      <w:r>
        <w:rPr>
          <w:rFonts w:ascii="Titillium Web" w:hAnsi="Titillium Web" w:cs="Titillium Web"/>
          <w:sz w:val="20"/>
          <w:szCs w:val="20"/>
          <w:vertAlign w:val="superscript"/>
        </w:rPr>
        <w:t>2</w:t>
      </w:r>
      <w:r>
        <w:rPr>
          <w:rFonts w:ascii="Titillium Web" w:hAnsi="Titillium Web" w:cs="Titillium Web"/>
          <w:sz w:val="20"/>
          <w:szCs w:val="20"/>
        </w:rPr>
        <w:t>) unter Umständen stark.</w:t>
      </w:r>
    </w:p>
    <w:p w14:paraId="035F4E8E" w14:textId="4E93A37E" w:rsidR="009D2A9B" w:rsidRPr="00017326" w:rsidRDefault="00017326" w:rsidP="00017326">
      <w:pPr>
        <w:spacing w:line="240" w:lineRule="auto"/>
        <w:rPr>
          <w:rFonts w:ascii="Titillium Web" w:hAnsi="Titillium Web"/>
          <w:sz w:val="20"/>
          <w:szCs w:val="20"/>
        </w:rPr>
      </w:pPr>
      <w:r>
        <w:rPr>
          <w:rFonts w:ascii="Titillium Web" w:hAnsi="Titillium Web" w:cs="Titillium Web"/>
          <w:sz w:val="20"/>
          <w:szCs w:val="20"/>
        </w:rPr>
        <w:t>Durch den Transportwagen ist das Gerät sehr mobil und variabel aufstellbar. Innerhalb kurzer Zeit ist es an jedem Standort einsetzbar und mit wenigen Handgriffen betriebsbereit</w:t>
      </w:r>
      <w:r w:rsidRPr="00017326">
        <w:rPr>
          <w:rFonts w:ascii="Titillium Web" w:hAnsi="Titillium Web" w:cs="Titillium Web"/>
          <w:sz w:val="20"/>
          <w:szCs w:val="20"/>
        </w:rPr>
        <w:t>.</w:t>
      </w:r>
    </w:p>
    <w:p w14:paraId="565E29CE" w14:textId="15DD1638" w:rsidR="008C06DB" w:rsidRDefault="008C06DB" w:rsidP="008C06DB">
      <w:pPr>
        <w:pStyle w:val="Fliestext-Eigenschaften"/>
        <w:rPr>
          <w:rFonts w:ascii="Titillium Web" w:hAnsi="Titillium Web" w:cs="Titillium Web"/>
          <w:sz w:val="20"/>
          <w:szCs w:val="20"/>
        </w:rPr>
      </w:pPr>
      <w:r>
        <w:rPr>
          <w:rFonts w:ascii="Titillium Web" w:hAnsi="Titillium Web" w:cs="Titillium Web"/>
          <w:sz w:val="20"/>
          <w:szCs w:val="20"/>
        </w:rPr>
        <w:t>Mietkonditionen</w:t>
      </w:r>
    </w:p>
    <w:p w14:paraId="5DB0C50B" w14:textId="77777777" w:rsidR="00017326" w:rsidRPr="00017326" w:rsidRDefault="00017326" w:rsidP="00017326">
      <w:pPr>
        <w:pStyle w:val="Tabelle-TextgmitAufzhlung"/>
        <w:numPr>
          <w:ilvl w:val="0"/>
          <w:numId w:val="5"/>
        </w:numPr>
        <w:rPr>
          <w:rFonts w:ascii="Titillium Web" w:hAnsi="Titillium Web" w:cs="Titillium Web"/>
          <w:sz w:val="20"/>
          <w:szCs w:val="20"/>
        </w:rPr>
      </w:pPr>
      <w:r w:rsidRPr="00017326">
        <w:rPr>
          <w:rFonts w:ascii="Titillium Web" w:hAnsi="Titillium Web" w:cs="Titillium Web"/>
          <w:sz w:val="20"/>
          <w:szCs w:val="20"/>
        </w:rPr>
        <w:t>Anlieferung und Abholung</w:t>
      </w:r>
    </w:p>
    <w:p w14:paraId="61840CF0" w14:textId="4505466D" w:rsidR="00017326" w:rsidRPr="00017326" w:rsidRDefault="00017326" w:rsidP="00017326">
      <w:pPr>
        <w:pStyle w:val="Tabelle-TextgmitAufzhlung"/>
        <w:numPr>
          <w:ilvl w:val="0"/>
          <w:numId w:val="5"/>
        </w:numPr>
        <w:rPr>
          <w:rFonts w:ascii="Titillium Web" w:hAnsi="Titillium Web" w:cs="Titillium Web"/>
          <w:sz w:val="20"/>
          <w:szCs w:val="20"/>
        </w:rPr>
      </w:pPr>
      <w:r w:rsidRPr="00017326">
        <w:rPr>
          <w:rFonts w:ascii="Titillium Web" w:hAnsi="Titillium Web" w:cs="Titillium Web"/>
          <w:sz w:val="20"/>
          <w:szCs w:val="20"/>
        </w:rPr>
        <w:t xml:space="preserve">Inkl. </w:t>
      </w:r>
      <w:proofErr w:type="spellStart"/>
      <w:r w:rsidRPr="00017326">
        <w:rPr>
          <w:rFonts w:ascii="Titillium Web" w:hAnsi="Titillium Web" w:cs="Titillium Web"/>
          <w:sz w:val="20"/>
          <w:szCs w:val="20"/>
        </w:rPr>
        <w:t>Anbindeleitungen</w:t>
      </w:r>
      <w:proofErr w:type="spellEnd"/>
      <w:r w:rsidRPr="00017326">
        <w:rPr>
          <w:rFonts w:ascii="Titillium Web" w:hAnsi="Titillium Web" w:cs="Titillium Web"/>
          <w:sz w:val="20"/>
          <w:szCs w:val="20"/>
        </w:rPr>
        <w:t xml:space="preserve"> (à 2.800 mm Vorlauf und Rücklauf)</w:t>
      </w:r>
    </w:p>
    <w:p w14:paraId="21F13A24" w14:textId="766B97F7" w:rsidR="00017326" w:rsidRPr="00017326" w:rsidRDefault="00017326" w:rsidP="00017326">
      <w:pPr>
        <w:pStyle w:val="Tabelle-TextgmitAufzhlung"/>
        <w:numPr>
          <w:ilvl w:val="0"/>
          <w:numId w:val="5"/>
        </w:numPr>
        <w:rPr>
          <w:rFonts w:ascii="Titillium Web" w:hAnsi="Titillium Web" w:cs="Titillium Web"/>
          <w:sz w:val="20"/>
          <w:szCs w:val="20"/>
        </w:rPr>
      </w:pPr>
      <w:r w:rsidRPr="00017326">
        <w:rPr>
          <w:rFonts w:ascii="Titillium Web" w:hAnsi="Titillium Web" w:cs="Titillium Web"/>
          <w:sz w:val="20"/>
          <w:szCs w:val="20"/>
        </w:rPr>
        <w:t>Der Transport erfolgt in schützender Holz-Transportkiste</w:t>
      </w:r>
    </w:p>
    <w:p w14:paraId="3E504095" w14:textId="18B1CCCE" w:rsidR="00017326" w:rsidRPr="00017326" w:rsidRDefault="00017326" w:rsidP="00017326">
      <w:pPr>
        <w:pStyle w:val="Tabelle-TextgmitAufzhlung"/>
        <w:numPr>
          <w:ilvl w:val="0"/>
          <w:numId w:val="5"/>
        </w:numPr>
        <w:rPr>
          <w:rFonts w:ascii="Titillium Web" w:hAnsi="Titillium Web" w:cs="Titillium Web"/>
          <w:sz w:val="20"/>
          <w:szCs w:val="20"/>
        </w:rPr>
      </w:pPr>
      <w:r w:rsidRPr="00017326">
        <w:rPr>
          <w:rFonts w:ascii="Titillium Web" w:hAnsi="Titillium Web" w:cs="Titillium Web"/>
          <w:sz w:val="20"/>
          <w:szCs w:val="20"/>
        </w:rPr>
        <w:t>Lieferzeit: innerhalb 48 Std. bei Ihnen!</w:t>
      </w:r>
    </w:p>
    <w:p w14:paraId="27CA753D" w14:textId="780AA7DD" w:rsidR="00017326" w:rsidRPr="00017326" w:rsidRDefault="00017326" w:rsidP="00017326">
      <w:pPr>
        <w:pStyle w:val="Tabelle-TextgmitAufzhlung"/>
        <w:numPr>
          <w:ilvl w:val="0"/>
          <w:numId w:val="5"/>
        </w:numPr>
        <w:rPr>
          <w:rFonts w:ascii="Titillium Web" w:hAnsi="Titillium Web" w:cs="Titillium Web"/>
          <w:sz w:val="20"/>
          <w:szCs w:val="20"/>
        </w:rPr>
      </w:pPr>
      <w:r w:rsidRPr="00017326">
        <w:rPr>
          <w:rFonts w:ascii="Titillium Web" w:hAnsi="Titillium Web" w:cs="Titillium Web"/>
          <w:sz w:val="20"/>
          <w:szCs w:val="20"/>
        </w:rPr>
        <w:t xml:space="preserve"> Taggenaue Abrechnung nach Ablauf der Wochengrundmiete</w:t>
      </w:r>
    </w:p>
    <w:p w14:paraId="6171BC3F" w14:textId="4BD6CFDB" w:rsidR="00017326" w:rsidRPr="00017326" w:rsidRDefault="00017326" w:rsidP="00017326">
      <w:pPr>
        <w:pStyle w:val="Fliestext-Eigenschaften"/>
        <w:numPr>
          <w:ilvl w:val="0"/>
          <w:numId w:val="5"/>
        </w:numPr>
        <w:rPr>
          <w:rFonts w:ascii="Titillium Web" w:hAnsi="Titillium Web" w:cs="Titillium Web"/>
          <w:sz w:val="20"/>
          <w:szCs w:val="20"/>
        </w:rPr>
      </w:pPr>
      <w:r w:rsidRPr="00017326">
        <w:rPr>
          <w:rFonts w:ascii="Titillium Web" w:hAnsi="Titillium Web" w:cs="Titillium Web"/>
          <w:sz w:val="20"/>
          <w:szCs w:val="20"/>
        </w:rPr>
        <w:t xml:space="preserve">  Anliefertag und Abmeldetag werden als </w:t>
      </w:r>
      <w:proofErr w:type="spellStart"/>
      <w:r w:rsidRPr="00017326">
        <w:rPr>
          <w:rFonts w:ascii="Titillium Web" w:hAnsi="Titillium Web" w:cs="Titillium Web"/>
          <w:sz w:val="20"/>
          <w:szCs w:val="20"/>
        </w:rPr>
        <w:t>Miettag</w:t>
      </w:r>
      <w:proofErr w:type="spellEnd"/>
      <w:r w:rsidRPr="00017326">
        <w:rPr>
          <w:rFonts w:ascii="Titillium Web" w:hAnsi="Titillium Web" w:cs="Titillium Web"/>
          <w:sz w:val="20"/>
          <w:szCs w:val="20"/>
        </w:rPr>
        <w:t xml:space="preserve"> berechnet!</w:t>
      </w:r>
    </w:p>
    <w:p w14:paraId="33F21ADD" w14:textId="0AF0E718" w:rsidR="008C06DB" w:rsidRDefault="008C06DB" w:rsidP="00017326">
      <w:pPr>
        <w:pStyle w:val="Listenabsatz"/>
        <w:spacing w:line="240" w:lineRule="auto"/>
        <w:rPr>
          <w:rFonts w:ascii="Titillium Web" w:hAnsi="Titillium Web"/>
          <w:sz w:val="20"/>
          <w:szCs w:val="20"/>
        </w:rPr>
      </w:pPr>
    </w:p>
    <w:tbl>
      <w:tblPr>
        <w:tblStyle w:val="Tabellenraster"/>
        <w:tblW w:w="0" w:type="auto"/>
        <w:tblInd w:w="360" w:type="dxa"/>
        <w:tblLook w:val="04A0" w:firstRow="1" w:lastRow="0" w:firstColumn="1" w:lastColumn="0" w:noHBand="0" w:noVBand="1"/>
      </w:tblPr>
      <w:tblGrid>
        <w:gridCol w:w="4597"/>
        <w:gridCol w:w="1504"/>
        <w:gridCol w:w="2602"/>
      </w:tblGrid>
      <w:tr w:rsidR="007367D9" w:rsidRPr="008C06DB" w14:paraId="165D7BB8" w14:textId="77777777" w:rsidTr="00017326">
        <w:tc>
          <w:tcPr>
            <w:tcW w:w="4597" w:type="dxa"/>
          </w:tcPr>
          <w:p w14:paraId="403F21E4" w14:textId="11957149" w:rsidR="007367D9" w:rsidRPr="007367D9" w:rsidRDefault="00017326" w:rsidP="008D1F91">
            <w:pPr>
              <w:rPr>
                <w:rFonts w:ascii="Titillium Web" w:hAnsi="Titillium Web"/>
                <w:sz w:val="20"/>
                <w:szCs w:val="20"/>
              </w:rPr>
            </w:pPr>
            <w:r>
              <w:rPr>
                <w:rFonts w:ascii="Titillium Web" w:hAnsi="Titillium Web"/>
                <w:sz w:val="20"/>
                <w:szCs w:val="20"/>
              </w:rPr>
              <w:t>Leistung 3/11/19 kW</w:t>
            </w:r>
          </w:p>
        </w:tc>
        <w:tc>
          <w:tcPr>
            <w:tcW w:w="4106" w:type="dxa"/>
            <w:gridSpan w:val="2"/>
          </w:tcPr>
          <w:p w14:paraId="21E62D1D" w14:textId="71146131" w:rsidR="007367D9" w:rsidRPr="007367D9" w:rsidRDefault="007367D9" w:rsidP="008D1F91">
            <w:pPr>
              <w:rPr>
                <w:rFonts w:ascii="Titillium Web" w:hAnsi="Titillium Web"/>
                <w:sz w:val="20"/>
                <w:szCs w:val="20"/>
              </w:rPr>
            </w:pPr>
            <w:r w:rsidRPr="007367D9">
              <w:rPr>
                <w:rFonts w:ascii="Titillium Web" w:hAnsi="Titillium Web"/>
                <w:sz w:val="20"/>
                <w:szCs w:val="20"/>
              </w:rPr>
              <w:t xml:space="preserve">RG </w:t>
            </w:r>
            <w:r w:rsidR="00017326">
              <w:rPr>
                <w:rFonts w:ascii="Titillium Web" w:hAnsi="Titillium Web"/>
                <w:sz w:val="20"/>
                <w:szCs w:val="20"/>
              </w:rPr>
              <w:t xml:space="preserve">DL </w:t>
            </w:r>
            <w:proofErr w:type="spellStart"/>
            <w:r w:rsidR="00017326">
              <w:rPr>
                <w:rFonts w:ascii="Titillium Web" w:hAnsi="Titillium Web"/>
                <w:sz w:val="20"/>
                <w:szCs w:val="20"/>
              </w:rPr>
              <w:t>Standart</w:t>
            </w:r>
            <w:proofErr w:type="spellEnd"/>
            <w:r w:rsidR="00017326">
              <w:rPr>
                <w:rFonts w:ascii="Titillium Web" w:hAnsi="Titillium Web"/>
                <w:sz w:val="20"/>
                <w:szCs w:val="20"/>
              </w:rPr>
              <w:t xml:space="preserve"> bis 120 kW</w:t>
            </w:r>
          </w:p>
        </w:tc>
      </w:tr>
      <w:tr w:rsidR="008C06DB" w:rsidRPr="008C06DB" w14:paraId="7EBC35C6" w14:textId="77777777" w:rsidTr="00017326">
        <w:tc>
          <w:tcPr>
            <w:tcW w:w="4597" w:type="dxa"/>
          </w:tcPr>
          <w:p w14:paraId="35C298E8" w14:textId="56668C7E" w:rsidR="008C06DB" w:rsidRPr="007367D9" w:rsidRDefault="00017326" w:rsidP="008D1F91">
            <w:pPr>
              <w:rPr>
                <w:rFonts w:ascii="Titillium Web" w:hAnsi="Titillium Web"/>
                <w:sz w:val="20"/>
                <w:szCs w:val="20"/>
              </w:rPr>
            </w:pPr>
            <w:r>
              <w:rPr>
                <w:rFonts w:ascii="Titillium Web" w:hAnsi="Titillium Web"/>
                <w:sz w:val="20"/>
                <w:szCs w:val="20"/>
              </w:rPr>
              <w:t>Mietkonditionen</w:t>
            </w:r>
          </w:p>
        </w:tc>
        <w:tc>
          <w:tcPr>
            <w:tcW w:w="1504" w:type="dxa"/>
          </w:tcPr>
          <w:p w14:paraId="0570D66D" w14:textId="216B7C5F" w:rsidR="008C06DB" w:rsidRPr="007367D9" w:rsidRDefault="007367D9" w:rsidP="008D1F91">
            <w:pPr>
              <w:rPr>
                <w:rFonts w:ascii="Titillium Web" w:hAnsi="Titillium Web"/>
                <w:sz w:val="20"/>
                <w:szCs w:val="20"/>
              </w:rPr>
            </w:pPr>
            <w:r w:rsidRPr="007367D9">
              <w:rPr>
                <w:rFonts w:ascii="Titillium Web" w:hAnsi="Titillium Web"/>
                <w:sz w:val="20"/>
                <w:szCs w:val="20"/>
              </w:rPr>
              <w:t>Artikel-Nr.</w:t>
            </w:r>
          </w:p>
        </w:tc>
        <w:tc>
          <w:tcPr>
            <w:tcW w:w="2602" w:type="dxa"/>
          </w:tcPr>
          <w:p w14:paraId="54DEB46A" w14:textId="00EBE54B" w:rsidR="008C06DB" w:rsidRPr="007367D9" w:rsidRDefault="007367D9" w:rsidP="008D1F91">
            <w:pPr>
              <w:rPr>
                <w:rFonts w:ascii="Titillium Web" w:hAnsi="Titillium Web"/>
                <w:sz w:val="20"/>
                <w:szCs w:val="20"/>
              </w:rPr>
            </w:pPr>
            <w:r w:rsidRPr="007367D9">
              <w:rPr>
                <w:rFonts w:ascii="Titillium Web" w:hAnsi="Titillium Web"/>
                <w:sz w:val="20"/>
                <w:szCs w:val="20"/>
              </w:rPr>
              <w:t>Preis netto EUR</w:t>
            </w:r>
          </w:p>
        </w:tc>
      </w:tr>
      <w:tr w:rsidR="008C06DB" w:rsidRPr="008C06DB" w14:paraId="641F27A3" w14:textId="3E15F382" w:rsidTr="00017326">
        <w:tc>
          <w:tcPr>
            <w:tcW w:w="4597" w:type="dxa"/>
          </w:tcPr>
          <w:p w14:paraId="3055BC22" w14:textId="6A022035" w:rsidR="008C06DB" w:rsidRPr="00017326" w:rsidRDefault="00017326" w:rsidP="00017326">
            <w:pPr>
              <w:pStyle w:val="EinfAbs"/>
              <w:rPr>
                <w:rFonts w:ascii="Titillium Web" w:hAnsi="Titillium Web" w:cs="Titillium Web"/>
                <w:sz w:val="20"/>
                <w:szCs w:val="20"/>
              </w:rPr>
            </w:pPr>
            <w:r>
              <w:rPr>
                <w:rStyle w:val="Taballe-Text"/>
                <w:rFonts w:ascii="Titillium Web" w:hAnsi="Titillium Web" w:cs="Titillium Web"/>
                <w:sz w:val="20"/>
                <w:szCs w:val="20"/>
              </w:rPr>
              <w:t>Wochengrundmiete (7 Tage), inklusive Transport</w:t>
            </w:r>
          </w:p>
        </w:tc>
        <w:tc>
          <w:tcPr>
            <w:tcW w:w="1504" w:type="dxa"/>
          </w:tcPr>
          <w:p w14:paraId="2AF9082C" w14:textId="337A0018" w:rsidR="008C06DB" w:rsidRPr="00017326" w:rsidRDefault="00017326" w:rsidP="00017326">
            <w:pPr>
              <w:pStyle w:val="EinfAbs"/>
              <w:rPr>
                <w:rFonts w:ascii="Titillium Web" w:hAnsi="Titillium Web" w:cs="Titillium Web"/>
                <w:sz w:val="20"/>
                <w:szCs w:val="20"/>
              </w:rPr>
            </w:pPr>
            <w:r>
              <w:rPr>
                <w:rFonts w:ascii="Titillium Web" w:hAnsi="Titillium Web" w:cs="Titillium Web"/>
                <w:sz w:val="20"/>
                <w:szCs w:val="20"/>
              </w:rPr>
              <w:t>MH19.2QV</w:t>
            </w:r>
          </w:p>
        </w:tc>
        <w:tc>
          <w:tcPr>
            <w:tcW w:w="2602" w:type="dxa"/>
          </w:tcPr>
          <w:p w14:paraId="6B2BA5CE" w14:textId="2043F4F6" w:rsidR="008C06DB" w:rsidRPr="007367D9" w:rsidRDefault="00017326" w:rsidP="008D1F91">
            <w:pPr>
              <w:rPr>
                <w:rFonts w:ascii="Titillium Web" w:hAnsi="Titillium Web"/>
                <w:sz w:val="20"/>
                <w:szCs w:val="20"/>
              </w:rPr>
            </w:pPr>
            <w:r>
              <w:rPr>
                <w:rFonts w:ascii="Titillium Web" w:hAnsi="Titillium Web"/>
                <w:sz w:val="20"/>
                <w:szCs w:val="20"/>
              </w:rPr>
              <w:t>5</w:t>
            </w:r>
            <w:r>
              <w:t>10,00</w:t>
            </w:r>
          </w:p>
        </w:tc>
      </w:tr>
      <w:tr w:rsidR="007367D9" w:rsidRPr="008C06DB" w14:paraId="360B0D42" w14:textId="0484B90A" w:rsidTr="00017326">
        <w:tc>
          <w:tcPr>
            <w:tcW w:w="4597" w:type="dxa"/>
          </w:tcPr>
          <w:p w14:paraId="1A407667" w14:textId="567BD71E" w:rsidR="007367D9" w:rsidRPr="00017326" w:rsidRDefault="00017326" w:rsidP="00017326">
            <w:pPr>
              <w:autoSpaceDE w:val="0"/>
              <w:autoSpaceDN w:val="0"/>
              <w:adjustRightInd w:val="0"/>
              <w:spacing w:line="288" w:lineRule="auto"/>
              <w:textAlignment w:val="center"/>
              <w:rPr>
                <w:rFonts w:ascii="Titillium Web" w:hAnsi="Titillium Web" w:cs="Titillium Web"/>
                <w:color w:val="000000"/>
                <w:sz w:val="20"/>
                <w:szCs w:val="20"/>
              </w:rPr>
            </w:pPr>
            <w:r w:rsidRPr="00017326">
              <w:rPr>
                <w:rFonts w:ascii="Titillium Web" w:hAnsi="Titillium Web" w:cs="Titillium Web"/>
                <w:color w:val="000000"/>
                <w:sz w:val="20"/>
                <w:szCs w:val="20"/>
              </w:rPr>
              <w:t>Mietverlängerungstag (ab dem 8. Tag)</w:t>
            </w:r>
          </w:p>
        </w:tc>
        <w:tc>
          <w:tcPr>
            <w:tcW w:w="1504" w:type="dxa"/>
          </w:tcPr>
          <w:p w14:paraId="607B12F9" w14:textId="77A1CFB9" w:rsidR="007367D9" w:rsidRPr="00017326" w:rsidRDefault="00017326" w:rsidP="00017326">
            <w:pPr>
              <w:autoSpaceDE w:val="0"/>
              <w:autoSpaceDN w:val="0"/>
              <w:adjustRightInd w:val="0"/>
              <w:spacing w:line="288" w:lineRule="auto"/>
              <w:textAlignment w:val="center"/>
              <w:rPr>
                <w:rFonts w:ascii="Titillium Web" w:hAnsi="Titillium Web" w:cs="Titillium Web"/>
                <w:color w:val="000000"/>
                <w:sz w:val="20"/>
                <w:szCs w:val="20"/>
              </w:rPr>
            </w:pPr>
            <w:r w:rsidRPr="00017326">
              <w:rPr>
                <w:rFonts w:ascii="Titillium Web" w:hAnsi="Titillium Web" w:cs="Titillium Web"/>
                <w:color w:val="000000"/>
                <w:sz w:val="20"/>
                <w:szCs w:val="20"/>
              </w:rPr>
              <w:t>MH19.2QVT</w:t>
            </w:r>
          </w:p>
        </w:tc>
        <w:tc>
          <w:tcPr>
            <w:tcW w:w="2602" w:type="dxa"/>
          </w:tcPr>
          <w:p w14:paraId="72BB6901" w14:textId="59DBA78D" w:rsidR="007367D9" w:rsidRPr="007367D9" w:rsidRDefault="00017326" w:rsidP="007367D9">
            <w:pPr>
              <w:rPr>
                <w:rFonts w:ascii="Titillium Web" w:hAnsi="Titillium Web"/>
                <w:sz w:val="20"/>
                <w:szCs w:val="20"/>
              </w:rPr>
            </w:pPr>
            <w:r>
              <w:rPr>
                <w:rFonts w:ascii="Titillium Web" w:hAnsi="Titillium Web"/>
                <w:sz w:val="20"/>
                <w:szCs w:val="20"/>
              </w:rPr>
              <w:t>37,00</w:t>
            </w:r>
          </w:p>
        </w:tc>
      </w:tr>
      <w:tr w:rsidR="00017326" w:rsidRPr="008C06DB" w14:paraId="285AC0BC" w14:textId="77777777" w:rsidTr="00017326">
        <w:tc>
          <w:tcPr>
            <w:tcW w:w="4597" w:type="dxa"/>
          </w:tcPr>
          <w:p w14:paraId="767B054D" w14:textId="36671D96" w:rsidR="00017326" w:rsidRPr="00017326" w:rsidRDefault="00017326" w:rsidP="00017326">
            <w:pPr>
              <w:autoSpaceDE w:val="0"/>
              <w:autoSpaceDN w:val="0"/>
              <w:adjustRightInd w:val="0"/>
              <w:spacing w:line="288" w:lineRule="auto"/>
              <w:textAlignment w:val="center"/>
              <w:rPr>
                <w:rFonts w:ascii="Titillium Web" w:hAnsi="Titillium Web" w:cs="Titillium Web"/>
                <w:color w:val="000000"/>
                <w:sz w:val="20"/>
                <w:szCs w:val="20"/>
              </w:rPr>
            </w:pPr>
            <w:r w:rsidRPr="00017326">
              <w:rPr>
                <w:rFonts w:ascii="Titillium Web" w:hAnsi="Titillium Web" w:cs="Titillium Web"/>
                <w:color w:val="000000"/>
                <w:sz w:val="20"/>
                <w:szCs w:val="20"/>
              </w:rPr>
              <w:t>Monatsgrundmiete (30 Tage), inklusive Transport</w:t>
            </w:r>
          </w:p>
        </w:tc>
        <w:tc>
          <w:tcPr>
            <w:tcW w:w="1504" w:type="dxa"/>
          </w:tcPr>
          <w:p w14:paraId="68875AB9" w14:textId="0409E9D3" w:rsidR="00017326" w:rsidRPr="00017326" w:rsidRDefault="00017326" w:rsidP="00017326">
            <w:pPr>
              <w:autoSpaceDE w:val="0"/>
              <w:autoSpaceDN w:val="0"/>
              <w:adjustRightInd w:val="0"/>
              <w:spacing w:line="288" w:lineRule="auto"/>
              <w:textAlignment w:val="center"/>
              <w:rPr>
                <w:rFonts w:ascii="Titillium Web" w:hAnsi="Titillium Web" w:cs="Titillium Web"/>
                <w:color w:val="000000"/>
                <w:sz w:val="20"/>
                <w:szCs w:val="20"/>
              </w:rPr>
            </w:pPr>
            <w:r w:rsidRPr="00017326">
              <w:rPr>
                <w:rFonts w:ascii="Titillium Web" w:hAnsi="Titillium Web" w:cs="Titillium Web"/>
                <w:color w:val="000000"/>
                <w:sz w:val="20"/>
                <w:szCs w:val="20"/>
              </w:rPr>
              <w:t>MH19.2QVM</w:t>
            </w:r>
          </w:p>
        </w:tc>
        <w:tc>
          <w:tcPr>
            <w:tcW w:w="2602" w:type="dxa"/>
          </w:tcPr>
          <w:p w14:paraId="2BB05FDF" w14:textId="7F1F9FED" w:rsidR="00017326" w:rsidRDefault="00017326" w:rsidP="007367D9">
            <w:pPr>
              <w:rPr>
                <w:rFonts w:ascii="Titillium Web" w:hAnsi="Titillium Web"/>
                <w:sz w:val="20"/>
                <w:szCs w:val="20"/>
              </w:rPr>
            </w:pPr>
            <w:r>
              <w:rPr>
                <w:rFonts w:ascii="Titillium Web" w:hAnsi="Titillium Web"/>
                <w:sz w:val="20"/>
                <w:szCs w:val="20"/>
              </w:rPr>
              <w:t>665,00</w:t>
            </w:r>
          </w:p>
        </w:tc>
      </w:tr>
      <w:tr w:rsidR="00017326" w:rsidRPr="008C06DB" w14:paraId="2BF1FAF3" w14:textId="77777777" w:rsidTr="00017326">
        <w:tc>
          <w:tcPr>
            <w:tcW w:w="4597" w:type="dxa"/>
          </w:tcPr>
          <w:p w14:paraId="0951DB22" w14:textId="0C3A15A3" w:rsidR="00017326" w:rsidRPr="00017326" w:rsidRDefault="00017326" w:rsidP="00017326">
            <w:pPr>
              <w:autoSpaceDE w:val="0"/>
              <w:autoSpaceDN w:val="0"/>
              <w:adjustRightInd w:val="0"/>
              <w:spacing w:line="288" w:lineRule="auto"/>
              <w:textAlignment w:val="center"/>
              <w:rPr>
                <w:rFonts w:ascii="Titillium Web" w:hAnsi="Titillium Web" w:cs="Titillium Web"/>
                <w:color w:val="000000"/>
                <w:sz w:val="20"/>
                <w:szCs w:val="20"/>
              </w:rPr>
            </w:pPr>
            <w:r w:rsidRPr="00017326">
              <w:rPr>
                <w:rFonts w:ascii="Titillium Web" w:hAnsi="Titillium Web" w:cs="Titillium Web"/>
                <w:color w:val="000000"/>
                <w:sz w:val="20"/>
                <w:szCs w:val="20"/>
              </w:rPr>
              <w:t>Mietverlängerungstag (ab dem 29. Tag)</w:t>
            </w:r>
          </w:p>
        </w:tc>
        <w:tc>
          <w:tcPr>
            <w:tcW w:w="1504" w:type="dxa"/>
          </w:tcPr>
          <w:p w14:paraId="2450543C" w14:textId="35D1CF57" w:rsidR="00017326" w:rsidRPr="00017326" w:rsidRDefault="00017326" w:rsidP="00017326">
            <w:pPr>
              <w:autoSpaceDE w:val="0"/>
              <w:autoSpaceDN w:val="0"/>
              <w:adjustRightInd w:val="0"/>
              <w:spacing w:line="288" w:lineRule="auto"/>
              <w:textAlignment w:val="center"/>
              <w:rPr>
                <w:rFonts w:ascii="Titillium Web" w:hAnsi="Titillium Web" w:cs="Titillium Web"/>
                <w:color w:val="000000"/>
                <w:sz w:val="20"/>
                <w:szCs w:val="20"/>
              </w:rPr>
            </w:pPr>
            <w:r w:rsidRPr="00017326">
              <w:rPr>
                <w:rFonts w:ascii="Titillium Web" w:hAnsi="Titillium Web" w:cs="Titillium Web"/>
                <w:color w:val="000000"/>
                <w:sz w:val="20"/>
                <w:szCs w:val="20"/>
              </w:rPr>
              <w:t>MH19.2QVT29</w:t>
            </w:r>
          </w:p>
        </w:tc>
        <w:tc>
          <w:tcPr>
            <w:tcW w:w="2602" w:type="dxa"/>
          </w:tcPr>
          <w:p w14:paraId="38BC5412" w14:textId="1FF9A4C8" w:rsidR="00017326" w:rsidRDefault="00017326" w:rsidP="007367D9">
            <w:pPr>
              <w:rPr>
                <w:rFonts w:ascii="Titillium Web" w:hAnsi="Titillium Web"/>
                <w:sz w:val="20"/>
                <w:szCs w:val="20"/>
              </w:rPr>
            </w:pPr>
            <w:r>
              <w:rPr>
                <w:rFonts w:ascii="Titillium Web" w:hAnsi="Titillium Web"/>
                <w:sz w:val="20"/>
                <w:szCs w:val="20"/>
              </w:rPr>
              <w:t>1</w:t>
            </w:r>
            <w:r>
              <w:t>9,00</w:t>
            </w:r>
          </w:p>
        </w:tc>
      </w:tr>
      <w:tr w:rsidR="00017326" w:rsidRPr="008C06DB" w14:paraId="0FC36BEE" w14:textId="77777777" w:rsidTr="00017326">
        <w:tc>
          <w:tcPr>
            <w:tcW w:w="4597" w:type="dxa"/>
          </w:tcPr>
          <w:p w14:paraId="527CF94D" w14:textId="5AD4D3D4" w:rsidR="00017326" w:rsidRPr="00017326" w:rsidRDefault="00017326" w:rsidP="00017326">
            <w:pPr>
              <w:autoSpaceDE w:val="0"/>
              <w:autoSpaceDN w:val="0"/>
              <w:adjustRightInd w:val="0"/>
              <w:spacing w:line="288" w:lineRule="auto"/>
              <w:textAlignment w:val="center"/>
              <w:rPr>
                <w:rFonts w:ascii="Titillium Web" w:hAnsi="Titillium Web" w:cs="Titillium Web"/>
                <w:color w:val="000000"/>
                <w:sz w:val="20"/>
                <w:szCs w:val="20"/>
              </w:rPr>
            </w:pPr>
            <w:r w:rsidRPr="00017326">
              <w:rPr>
                <w:rFonts w:ascii="Titillium Web" w:hAnsi="Titillium Web" w:cs="Titillium Web"/>
                <w:color w:val="000000"/>
                <w:sz w:val="20"/>
                <w:szCs w:val="20"/>
              </w:rPr>
              <w:t>Mietverlängerungstag (ab dem 50. Tag)</w:t>
            </w:r>
          </w:p>
        </w:tc>
        <w:tc>
          <w:tcPr>
            <w:tcW w:w="1504" w:type="dxa"/>
          </w:tcPr>
          <w:p w14:paraId="1F74E554" w14:textId="542A3B80" w:rsidR="00017326" w:rsidRPr="00017326" w:rsidRDefault="00017326" w:rsidP="00017326">
            <w:pPr>
              <w:autoSpaceDE w:val="0"/>
              <w:autoSpaceDN w:val="0"/>
              <w:adjustRightInd w:val="0"/>
              <w:spacing w:line="288" w:lineRule="auto"/>
              <w:textAlignment w:val="center"/>
              <w:rPr>
                <w:rFonts w:ascii="Titillium Web" w:hAnsi="Titillium Web" w:cs="Titillium Web"/>
                <w:color w:val="000000"/>
                <w:sz w:val="20"/>
                <w:szCs w:val="20"/>
              </w:rPr>
            </w:pPr>
            <w:r w:rsidRPr="00017326">
              <w:rPr>
                <w:rFonts w:ascii="Titillium Web" w:hAnsi="Titillium Web" w:cs="Titillium Web"/>
                <w:color w:val="000000"/>
                <w:sz w:val="20"/>
                <w:szCs w:val="20"/>
              </w:rPr>
              <w:t>MH19.2QVT50</w:t>
            </w:r>
          </w:p>
        </w:tc>
        <w:tc>
          <w:tcPr>
            <w:tcW w:w="2602" w:type="dxa"/>
          </w:tcPr>
          <w:p w14:paraId="628E7FA3" w14:textId="1AE1CA42" w:rsidR="00017326" w:rsidRDefault="00017326" w:rsidP="007367D9">
            <w:pPr>
              <w:rPr>
                <w:rFonts w:ascii="Titillium Web" w:hAnsi="Titillium Web"/>
                <w:sz w:val="20"/>
                <w:szCs w:val="20"/>
              </w:rPr>
            </w:pPr>
            <w:r>
              <w:rPr>
                <w:rFonts w:ascii="Titillium Web" w:hAnsi="Titillium Web"/>
                <w:sz w:val="20"/>
                <w:szCs w:val="20"/>
              </w:rPr>
              <w:t>9,00</w:t>
            </w:r>
          </w:p>
        </w:tc>
      </w:tr>
      <w:tr w:rsidR="007367D9" w:rsidRPr="008C06DB" w14:paraId="25B06664" w14:textId="77777777" w:rsidTr="00641C7A">
        <w:tc>
          <w:tcPr>
            <w:tcW w:w="8703" w:type="dxa"/>
            <w:gridSpan w:val="3"/>
          </w:tcPr>
          <w:p w14:paraId="388A1E12" w14:textId="78CCC9B6" w:rsidR="007367D9" w:rsidRPr="007367D9" w:rsidRDefault="007367D9" w:rsidP="0054389C">
            <w:pPr>
              <w:rPr>
                <w:rFonts w:ascii="Titillium Web" w:hAnsi="Titillium Web"/>
                <w:sz w:val="16"/>
                <w:szCs w:val="16"/>
              </w:rPr>
            </w:pPr>
          </w:p>
        </w:tc>
      </w:tr>
      <w:tr w:rsidR="007367D9" w:rsidRPr="008C06DB" w14:paraId="62FFB92A" w14:textId="77777777" w:rsidTr="00017326">
        <w:tc>
          <w:tcPr>
            <w:tcW w:w="4597" w:type="dxa"/>
          </w:tcPr>
          <w:p w14:paraId="012CC988" w14:textId="051CDA93" w:rsidR="007367D9" w:rsidRPr="007367D9" w:rsidRDefault="007367D9" w:rsidP="007367D9">
            <w:pPr>
              <w:rPr>
                <w:rFonts w:ascii="Titillium Web" w:hAnsi="Titillium Web"/>
                <w:sz w:val="20"/>
                <w:szCs w:val="20"/>
              </w:rPr>
            </w:pPr>
            <w:r w:rsidRPr="007367D9">
              <w:rPr>
                <w:rFonts w:ascii="Titillium Web" w:hAnsi="Titillium Web"/>
                <w:sz w:val="20"/>
                <w:szCs w:val="20"/>
              </w:rPr>
              <w:t>Versand innerhalb 24 Std. – Express Next Day</w:t>
            </w:r>
          </w:p>
        </w:tc>
        <w:tc>
          <w:tcPr>
            <w:tcW w:w="1504" w:type="dxa"/>
          </w:tcPr>
          <w:p w14:paraId="2E3C1F21" w14:textId="784B60C7" w:rsidR="007367D9" w:rsidRPr="007367D9" w:rsidRDefault="007367D9" w:rsidP="007367D9">
            <w:pPr>
              <w:rPr>
                <w:rFonts w:ascii="Titillium Web" w:hAnsi="Titillium Web"/>
                <w:sz w:val="20"/>
                <w:szCs w:val="20"/>
              </w:rPr>
            </w:pPr>
            <w:r w:rsidRPr="007367D9">
              <w:rPr>
                <w:rFonts w:ascii="Titillium Web" w:hAnsi="Titillium Web"/>
                <w:sz w:val="20"/>
                <w:szCs w:val="20"/>
              </w:rPr>
              <w:t>Artikel-Nr.</w:t>
            </w:r>
          </w:p>
        </w:tc>
        <w:tc>
          <w:tcPr>
            <w:tcW w:w="2602" w:type="dxa"/>
          </w:tcPr>
          <w:p w14:paraId="5382FBB9" w14:textId="0EEB383F" w:rsidR="007367D9" w:rsidRPr="007367D9" w:rsidRDefault="007367D9" w:rsidP="007367D9">
            <w:pPr>
              <w:rPr>
                <w:rFonts w:ascii="Titillium Web" w:hAnsi="Titillium Web"/>
                <w:sz w:val="20"/>
                <w:szCs w:val="20"/>
              </w:rPr>
            </w:pPr>
            <w:r w:rsidRPr="007367D9">
              <w:rPr>
                <w:rFonts w:ascii="Titillium Web" w:hAnsi="Titillium Web"/>
                <w:sz w:val="20"/>
                <w:szCs w:val="20"/>
              </w:rPr>
              <w:t>Preis netto EUR</w:t>
            </w:r>
          </w:p>
        </w:tc>
      </w:tr>
      <w:tr w:rsidR="007367D9" w:rsidRPr="008C06DB" w14:paraId="46C5DD63" w14:textId="77777777" w:rsidTr="00017326">
        <w:tc>
          <w:tcPr>
            <w:tcW w:w="4597" w:type="dxa"/>
          </w:tcPr>
          <w:p w14:paraId="5A443030" w14:textId="79BEA7EE" w:rsidR="007367D9" w:rsidRPr="008C06DB" w:rsidRDefault="007367D9" w:rsidP="0054389C">
            <w:pPr>
              <w:rPr>
                <w:rFonts w:ascii="Titillium Web" w:hAnsi="Titillium Web"/>
                <w:sz w:val="20"/>
                <w:szCs w:val="20"/>
              </w:rPr>
            </w:pPr>
            <w:r>
              <w:rPr>
                <w:rFonts w:ascii="Titillium Web" w:hAnsi="Titillium Web"/>
                <w:sz w:val="20"/>
                <w:szCs w:val="20"/>
              </w:rPr>
              <w:t>Anlieferung bis 17:00 Uhr am Folgetag bei Bestellung bis 12:00 Uhr</w:t>
            </w:r>
          </w:p>
        </w:tc>
        <w:tc>
          <w:tcPr>
            <w:tcW w:w="1504" w:type="dxa"/>
          </w:tcPr>
          <w:p w14:paraId="04F97AC2" w14:textId="294DD0F7" w:rsidR="007367D9" w:rsidRPr="008C06DB" w:rsidRDefault="007367D9" w:rsidP="0054389C">
            <w:pPr>
              <w:rPr>
                <w:rFonts w:ascii="Titillium Web" w:hAnsi="Titillium Web"/>
                <w:sz w:val="20"/>
                <w:szCs w:val="20"/>
              </w:rPr>
            </w:pPr>
            <w:r>
              <w:rPr>
                <w:rFonts w:ascii="Titillium Web" w:hAnsi="Titillium Web"/>
                <w:sz w:val="20"/>
                <w:szCs w:val="20"/>
              </w:rPr>
              <w:t>MHWND</w:t>
            </w:r>
          </w:p>
        </w:tc>
        <w:tc>
          <w:tcPr>
            <w:tcW w:w="2602" w:type="dxa"/>
          </w:tcPr>
          <w:p w14:paraId="71E7055E" w14:textId="679EA168" w:rsidR="007367D9" w:rsidRPr="008C06DB" w:rsidRDefault="007367D9" w:rsidP="0054389C">
            <w:pPr>
              <w:rPr>
                <w:rFonts w:ascii="Titillium Web" w:hAnsi="Titillium Web"/>
                <w:sz w:val="20"/>
                <w:szCs w:val="20"/>
              </w:rPr>
            </w:pPr>
            <w:r>
              <w:rPr>
                <w:rFonts w:ascii="Titillium Web" w:hAnsi="Titillium Web"/>
                <w:sz w:val="20"/>
                <w:szCs w:val="20"/>
              </w:rPr>
              <w:t>85,00</w:t>
            </w:r>
          </w:p>
        </w:tc>
      </w:tr>
    </w:tbl>
    <w:p w14:paraId="4058E86E" w14:textId="77777777" w:rsidR="007367D9" w:rsidRPr="008C06DB" w:rsidRDefault="007367D9" w:rsidP="008C06DB">
      <w:pPr>
        <w:spacing w:line="240" w:lineRule="auto"/>
        <w:rPr>
          <w:rFonts w:ascii="Titillium Web" w:hAnsi="Titillium Web"/>
          <w:sz w:val="20"/>
          <w:szCs w:val="20"/>
        </w:rPr>
      </w:pPr>
    </w:p>
    <w:sectPr w:rsidR="007367D9" w:rsidRPr="008C06DB" w:rsidSect="008C06DB">
      <w:headerReference w:type="default" r:id="rId8"/>
      <w:pgSz w:w="11906" w:h="16838"/>
      <w:pgMar w:top="1843" w:right="1416"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62D38" w14:textId="77777777" w:rsidR="007612CA" w:rsidRDefault="007612CA" w:rsidP="007612CA">
      <w:pPr>
        <w:spacing w:after="0" w:line="240" w:lineRule="auto"/>
      </w:pPr>
      <w:r>
        <w:separator/>
      </w:r>
    </w:p>
  </w:endnote>
  <w:endnote w:type="continuationSeparator" w:id="0">
    <w:p w14:paraId="354C7009" w14:textId="77777777" w:rsidR="007612CA" w:rsidRDefault="007612CA" w:rsidP="0076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Dax Offc Pro">
    <w:panose1 w:val="020B0504030101020102"/>
    <w:charset w:val="00"/>
    <w:family w:val="swiss"/>
    <w:pitch w:val="variable"/>
    <w:sig w:usb0="A00002BF" w:usb1="4000A4FB"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Dax Offc Pro (TT)">
    <w:altName w:val="Dax Offc Pr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EC03B" w14:textId="77777777" w:rsidR="007612CA" w:rsidRDefault="007612CA" w:rsidP="007612CA">
      <w:pPr>
        <w:spacing w:after="0" w:line="240" w:lineRule="auto"/>
      </w:pPr>
      <w:r>
        <w:separator/>
      </w:r>
    </w:p>
  </w:footnote>
  <w:footnote w:type="continuationSeparator" w:id="0">
    <w:p w14:paraId="5736900C" w14:textId="77777777" w:rsidR="007612CA" w:rsidRDefault="007612CA" w:rsidP="00761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46C4A" w14:textId="074B3F25" w:rsidR="007612CA" w:rsidRDefault="009D2A9B" w:rsidP="007612CA">
    <w:pPr>
      <w:pStyle w:val="Kopfzeile"/>
      <w:ind w:hanging="1417"/>
    </w:pPr>
    <w:r>
      <w:rPr>
        <w:noProof/>
      </w:rPr>
      <w:drawing>
        <wp:inline distT="0" distB="0" distL="0" distR="0" wp14:anchorId="1BE228E5" wp14:editId="4A5D374F">
          <wp:extent cx="7553325" cy="898175"/>
          <wp:effectExtent l="0" t="0" r="0" b="0"/>
          <wp:docPr id="200" name="Grafi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722" cy="9021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2D75"/>
    <w:multiLevelType w:val="hybridMultilevel"/>
    <w:tmpl w:val="413E5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E824C1"/>
    <w:multiLevelType w:val="hybridMultilevel"/>
    <w:tmpl w:val="54A6C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862C08"/>
    <w:multiLevelType w:val="hybridMultilevel"/>
    <w:tmpl w:val="EF821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3E7E0C"/>
    <w:multiLevelType w:val="hybridMultilevel"/>
    <w:tmpl w:val="F1D87D30"/>
    <w:lvl w:ilvl="0" w:tplc="4F92F5D8">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A0200E"/>
    <w:multiLevelType w:val="hybridMultilevel"/>
    <w:tmpl w:val="EBEC4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CA"/>
    <w:rsid w:val="00017326"/>
    <w:rsid w:val="0007570C"/>
    <w:rsid w:val="001A7B71"/>
    <w:rsid w:val="007367D9"/>
    <w:rsid w:val="007612CA"/>
    <w:rsid w:val="008C06DB"/>
    <w:rsid w:val="009D2A9B"/>
    <w:rsid w:val="00B05BDE"/>
    <w:rsid w:val="00B724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5B0F282"/>
  <w15:chartTrackingRefBased/>
  <w15:docId w15:val="{40E691FB-87F7-4FDB-8772-46E79B3E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12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12CA"/>
  </w:style>
  <w:style w:type="paragraph" w:styleId="Fuzeile">
    <w:name w:val="footer"/>
    <w:basedOn w:val="Standard"/>
    <w:link w:val="FuzeileZchn"/>
    <w:uiPriority w:val="99"/>
    <w:unhideWhenUsed/>
    <w:rsid w:val="007612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12CA"/>
  </w:style>
  <w:style w:type="paragraph" w:customStyle="1" w:styleId="Fliestext-Eigenschaften">
    <w:name w:val="Fliestext - Eigenschaften"/>
    <w:basedOn w:val="Standard"/>
    <w:uiPriority w:val="99"/>
    <w:rsid w:val="009D2A9B"/>
    <w:pPr>
      <w:autoSpaceDE w:val="0"/>
      <w:autoSpaceDN w:val="0"/>
      <w:adjustRightInd w:val="0"/>
      <w:spacing w:after="0" w:line="260" w:lineRule="atLeast"/>
      <w:textAlignment w:val="center"/>
    </w:pPr>
    <w:rPr>
      <w:rFonts w:ascii="Dax Offc Pro" w:hAnsi="Dax Offc Pro" w:cs="Dax Offc Pro"/>
      <w:color w:val="000000"/>
      <w:sz w:val="18"/>
      <w:szCs w:val="18"/>
    </w:rPr>
  </w:style>
  <w:style w:type="paragraph" w:styleId="Listenabsatz">
    <w:name w:val="List Paragraph"/>
    <w:basedOn w:val="Standard"/>
    <w:uiPriority w:val="34"/>
    <w:qFormat/>
    <w:rsid w:val="008C06DB"/>
    <w:pPr>
      <w:ind w:left="720"/>
      <w:contextualSpacing/>
    </w:pPr>
  </w:style>
  <w:style w:type="table" w:styleId="Tabellenraster">
    <w:name w:val="Table Grid"/>
    <w:basedOn w:val="NormaleTabelle"/>
    <w:uiPriority w:val="39"/>
    <w:rsid w:val="008C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017326"/>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abelle-TextgmitAufzhlung">
    <w:name w:val="Tabelle - Text gmit Aufzählung"/>
    <w:basedOn w:val="Standard"/>
    <w:uiPriority w:val="99"/>
    <w:rsid w:val="00017326"/>
    <w:pPr>
      <w:autoSpaceDE w:val="0"/>
      <w:autoSpaceDN w:val="0"/>
      <w:adjustRightInd w:val="0"/>
      <w:spacing w:after="0" w:line="260" w:lineRule="atLeast"/>
      <w:textAlignment w:val="center"/>
    </w:pPr>
    <w:rPr>
      <w:rFonts w:ascii="Dax Offc Pro (TT)" w:hAnsi="Dax Offc Pro (TT)" w:cs="Dax Offc Pro (TT)"/>
      <w:color w:val="000000"/>
      <w:sz w:val="18"/>
      <w:szCs w:val="18"/>
    </w:rPr>
  </w:style>
  <w:style w:type="character" w:customStyle="1" w:styleId="Taballe-Text">
    <w:name w:val="Taballe - Text"/>
    <w:uiPriority w:val="99"/>
    <w:rsid w:val="00017326"/>
    <w:rPr>
      <w:rFonts w:ascii="Dax Offc Pro (TT)" w:hAnsi="Dax Offc Pro (TT)" w:cs="Dax Offc Pro (T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8672-25AD-43CB-9EB4-69640B87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Mayer</dc:creator>
  <cp:keywords/>
  <dc:description/>
  <cp:lastModifiedBy>Ramona Mayer</cp:lastModifiedBy>
  <cp:revision>2</cp:revision>
  <dcterms:created xsi:type="dcterms:W3CDTF">2021-02-22T13:19:00Z</dcterms:created>
  <dcterms:modified xsi:type="dcterms:W3CDTF">2021-02-22T13:19:00Z</dcterms:modified>
</cp:coreProperties>
</file>