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8A9F9" w14:textId="72F538BC" w:rsidR="005C47D0" w:rsidRPr="007367D9" w:rsidRDefault="005C47D0" w:rsidP="005C47D0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</w:t>
      </w:r>
      <w:r w:rsidR="002169EF">
        <w:rPr>
          <w:rFonts w:ascii="Titillium Web" w:hAnsi="Titillium Web"/>
          <w:b/>
          <w:bCs/>
        </w:rPr>
        <w:t>H 320</w:t>
      </w:r>
      <w:r w:rsidR="00E135ED">
        <w:rPr>
          <w:rFonts w:ascii="Titillium Web" w:hAnsi="Titillium Web"/>
          <w:b/>
          <w:bCs/>
        </w:rPr>
        <w:t>QC</w:t>
      </w:r>
      <w:r>
        <w:rPr>
          <w:rFonts w:ascii="Titillium Web" w:hAnsi="Titillium Web"/>
          <w:b/>
          <w:bCs/>
        </w:rPr>
        <w:t xml:space="preserve"> | </w:t>
      </w:r>
      <w:r w:rsidR="002169EF">
        <w:rPr>
          <w:rFonts w:ascii="Titillium Web" w:hAnsi="Titillium Web"/>
          <w:b/>
          <w:bCs/>
        </w:rPr>
        <w:t>320</w:t>
      </w:r>
      <w:r>
        <w:rPr>
          <w:rFonts w:ascii="Titillium Web" w:hAnsi="Titillium Web"/>
          <w:b/>
          <w:bCs/>
        </w:rPr>
        <w:t xml:space="preserve"> kW Heiz</w:t>
      </w:r>
      <w:r w:rsidR="00E135ED">
        <w:rPr>
          <w:rFonts w:ascii="Titillium Web" w:hAnsi="Titillium Web"/>
          <w:b/>
          <w:bCs/>
        </w:rPr>
        <w:t>container</w:t>
      </w:r>
    </w:p>
    <w:p w14:paraId="08DD81AA" w14:textId="77777777" w:rsidR="005C47D0" w:rsidRDefault="005C47D0" w:rsidP="005C47D0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bookmarkStart w:id="3" w:name="_Hlk64897287"/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3"/>
    <w:bookmarkEnd w:id="1"/>
    <w:p w14:paraId="53265721" w14:textId="3659EE3E" w:rsidR="000B53B9" w:rsidRDefault="000B53B9" w:rsidP="000B53B9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 xml:space="preserve">Der Heizcontainer MH320QC ist eine voll funktionsfähige mobile Heizzentrale. Der MH300QC ist eine Heizzentrale im Stahl-Technik-Container. Als kompakte und leistungsstarke Einheit können die </w:t>
      </w:r>
      <w:r w:rsidRPr="000B53B9">
        <w:rPr>
          <w:rFonts w:ascii="Titillium Web" w:hAnsi="Titillium Web" w:cs="Titillium Web"/>
          <w:color w:val="000000"/>
          <w:sz w:val="20"/>
          <w:szCs w:val="20"/>
        </w:rPr>
        <w:br/>
        <w:t>mobilen Wärmeerzeuger ortsunabhängig und zeitnah eingesetzt werden.</w:t>
      </w:r>
    </w:p>
    <w:p w14:paraId="3315889B" w14:textId="77777777" w:rsidR="002169EF" w:rsidRPr="000B53B9" w:rsidRDefault="002169EF" w:rsidP="000B53B9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00E965C8" w14:textId="0E9FB736" w:rsidR="000B53B9" w:rsidRPr="000B53B9" w:rsidRDefault="000B53B9" w:rsidP="000B53B9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>Spezial-Heizkessel für erhöhte Anforderungen</w:t>
      </w:r>
    </w:p>
    <w:p w14:paraId="14F26680" w14:textId="744ACF05" w:rsidR="000B53B9" w:rsidRPr="000B53B9" w:rsidRDefault="000B53B9" w:rsidP="000B53B9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>Zweistoffbrenner</w:t>
      </w:r>
    </w:p>
    <w:p w14:paraId="22FA4720" w14:textId="77777777" w:rsidR="000B53B9" w:rsidRDefault="000B53B9" w:rsidP="000B53B9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>Pumpengruppe mit Mischer</w:t>
      </w:r>
    </w:p>
    <w:p w14:paraId="325302DC" w14:textId="73DD7D37" w:rsidR="000B53B9" w:rsidRPr="000B53B9" w:rsidRDefault="000B53B9" w:rsidP="000B53B9">
      <w:pPr>
        <w:pStyle w:val="Listenabsatz"/>
        <w:numPr>
          <w:ilvl w:val="1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 xml:space="preserve">optional mit </w:t>
      </w:r>
      <w:proofErr w:type="spellStart"/>
      <w:r w:rsidRPr="000B53B9">
        <w:rPr>
          <w:rFonts w:ascii="Titillium Web" w:hAnsi="Titillium Web" w:cs="Titillium Web"/>
          <w:color w:val="000000"/>
          <w:sz w:val="20"/>
          <w:szCs w:val="20"/>
        </w:rPr>
        <w:t>Reglermodul</w:t>
      </w:r>
      <w:proofErr w:type="spellEnd"/>
      <w:r w:rsidRPr="000B53B9">
        <w:rPr>
          <w:rFonts w:ascii="Titillium Web" w:hAnsi="Titillium Web" w:cs="Titillium Web"/>
          <w:color w:val="000000"/>
          <w:sz w:val="20"/>
          <w:szCs w:val="20"/>
        </w:rPr>
        <w:t xml:space="preserve"> für witterungsgeführte Regelung oder Estrichaufheizprogramme </w:t>
      </w:r>
    </w:p>
    <w:p w14:paraId="35A18668" w14:textId="0D4D191F" w:rsidR="000B53B9" w:rsidRPr="000B53B9" w:rsidRDefault="000B53B9" w:rsidP="000B53B9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proofErr w:type="spellStart"/>
      <w:r w:rsidRPr="000B53B9">
        <w:rPr>
          <w:rFonts w:ascii="Titillium Web" w:hAnsi="Titillium Web" w:cs="Titillium Web"/>
          <w:color w:val="000000"/>
          <w:sz w:val="20"/>
          <w:szCs w:val="20"/>
        </w:rPr>
        <w:t>Doppelw</w:t>
      </w:r>
      <w:proofErr w:type="spellEnd"/>
      <w:r w:rsidRPr="000B53B9">
        <w:rPr>
          <w:rFonts w:ascii="Titillium Web" w:hAnsi="Titillium Web" w:cs="Titillium Web"/>
          <w:color w:val="000000"/>
          <w:sz w:val="20"/>
          <w:szCs w:val="20"/>
        </w:rPr>
        <w:t>. Edelstahl-Abgaskamin</w:t>
      </w:r>
    </w:p>
    <w:p w14:paraId="10AE02C3" w14:textId="06EE4410" w:rsidR="000B53B9" w:rsidRPr="000B53B9" w:rsidRDefault="000B53B9" w:rsidP="000B53B9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>Frostschutzsicherung (elektrisches Heizgebläse)</w:t>
      </w:r>
    </w:p>
    <w:p w14:paraId="7EACACD5" w14:textId="401EBDBF" w:rsidR="000B53B9" w:rsidRPr="000B53B9" w:rsidRDefault="000B53B9" w:rsidP="000B53B9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>Flexible Schläuche</w:t>
      </w:r>
    </w:p>
    <w:p w14:paraId="416F57D9" w14:textId="301DC1D8" w:rsidR="000B53B9" w:rsidRPr="000B53B9" w:rsidRDefault="000B53B9" w:rsidP="000B53B9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>Sicherungstechnische Einrichtungen nach DIN EN 12828</w:t>
      </w:r>
    </w:p>
    <w:p w14:paraId="6789EC08" w14:textId="6CAA20A6" w:rsidR="000B53B9" w:rsidRPr="000B53B9" w:rsidRDefault="000B53B9" w:rsidP="000B53B9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 xml:space="preserve">Sicherungsschellen für </w:t>
      </w:r>
      <w:proofErr w:type="spellStart"/>
      <w:r w:rsidRPr="000B53B9">
        <w:rPr>
          <w:rFonts w:ascii="Titillium Web" w:hAnsi="Titillium Web" w:cs="Titillium Web"/>
          <w:color w:val="000000"/>
          <w:sz w:val="20"/>
          <w:szCs w:val="20"/>
        </w:rPr>
        <w:t>Storzverbindungen</w:t>
      </w:r>
      <w:proofErr w:type="spellEnd"/>
    </w:p>
    <w:p w14:paraId="639F1732" w14:textId="0734DABC" w:rsidR="00E135ED" w:rsidRPr="000B53B9" w:rsidRDefault="000B53B9" w:rsidP="000B53B9">
      <w:pPr>
        <w:pStyle w:val="Listenabsatz"/>
        <w:numPr>
          <w:ilvl w:val="0"/>
          <w:numId w:val="27"/>
        </w:num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>Inkl. Verlängerungskabel (Schuko)</w:t>
      </w:r>
    </w:p>
    <w:bookmarkEnd w:id="2"/>
    <w:p w14:paraId="11B8050A" w14:textId="77777777" w:rsidR="000B53B9" w:rsidRPr="00E135ED" w:rsidRDefault="000B53B9" w:rsidP="000B53B9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3B45853D" w:rsidR="00864D2E" w:rsidRDefault="00864D2E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54529BEE" w14:textId="77777777" w:rsidR="000B53B9" w:rsidRPr="000B53B9" w:rsidRDefault="000B53B9" w:rsidP="000B53B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 xml:space="preserve">Anlieferung und Abholung </w:t>
      </w:r>
    </w:p>
    <w:p w14:paraId="0034E74F" w14:textId="14AB68FF" w:rsidR="000B53B9" w:rsidRPr="000B53B9" w:rsidRDefault="000B53B9" w:rsidP="000B53B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>Inkl. Anbindeleitungen (für je 10 m Vorlauf und Rücklauf)</w:t>
      </w:r>
    </w:p>
    <w:p w14:paraId="089A801E" w14:textId="1A85A8DA" w:rsidR="000B53B9" w:rsidRPr="000B53B9" w:rsidRDefault="000B53B9" w:rsidP="000B53B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>Inkl. Stromkabel 20 m</w:t>
      </w:r>
    </w:p>
    <w:p w14:paraId="2A31BE24" w14:textId="1B04999C" w:rsidR="000B53B9" w:rsidRPr="000B53B9" w:rsidRDefault="000B53B9" w:rsidP="000B53B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>Lieferzeit: kurzfristig, nach Absprache</w:t>
      </w:r>
    </w:p>
    <w:p w14:paraId="5EDCEA8A" w14:textId="5C1E8C98" w:rsidR="000B53B9" w:rsidRPr="000B53B9" w:rsidRDefault="000B53B9" w:rsidP="000B53B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>Taggenaue Abrechnung nach Grundmiete</w:t>
      </w:r>
    </w:p>
    <w:p w14:paraId="76D37EDD" w14:textId="0228F23B" w:rsidR="0029498C" w:rsidRDefault="000B53B9" w:rsidP="000B53B9">
      <w:pPr>
        <w:pStyle w:val="Listenabsatz"/>
        <w:numPr>
          <w:ilvl w:val="0"/>
          <w:numId w:val="28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0B53B9">
        <w:rPr>
          <w:rFonts w:ascii="Titillium Web" w:hAnsi="Titillium Web" w:cs="Titillium Web"/>
          <w:color w:val="000000"/>
          <w:sz w:val="20"/>
          <w:szCs w:val="20"/>
        </w:rPr>
        <w:t xml:space="preserve">Anliefertag und Abmeldetag werden als </w:t>
      </w:r>
      <w:proofErr w:type="spellStart"/>
      <w:r w:rsidRPr="000B53B9">
        <w:rPr>
          <w:rFonts w:ascii="Titillium Web" w:hAnsi="Titillium Web" w:cs="Titillium Web"/>
          <w:color w:val="000000"/>
          <w:sz w:val="20"/>
          <w:szCs w:val="20"/>
        </w:rPr>
        <w:t>Miettag</w:t>
      </w:r>
      <w:proofErr w:type="spellEnd"/>
      <w:r w:rsidRPr="000B53B9">
        <w:rPr>
          <w:rFonts w:ascii="Titillium Web" w:hAnsi="Titillium Web" w:cs="Titillium Web"/>
          <w:color w:val="000000"/>
          <w:sz w:val="20"/>
          <w:szCs w:val="20"/>
        </w:rPr>
        <w:t xml:space="preserve"> berechnet!</w:t>
      </w:r>
    </w:p>
    <w:p w14:paraId="77E165C5" w14:textId="77777777" w:rsidR="000B53B9" w:rsidRPr="000B53B9" w:rsidRDefault="000B53B9" w:rsidP="000B53B9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5C47D0" w:rsidRPr="004A4EEA" w14:paraId="165D7BB8" w14:textId="77777777" w:rsidTr="00BA4D23">
        <w:tc>
          <w:tcPr>
            <w:tcW w:w="5022" w:type="dxa"/>
            <w:vAlign w:val="center"/>
          </w:tcPr>
          <w:p w14:paraId="403F21E4" w14:textId="0C4D995E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Heizmobil bis</w:t>
            </w:r>
            <w:r w:rsid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 320 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 xml:space="preserve">kW mit </w:t>
            </w:r>
            <w:r w:rsid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1.000</w:t>
            </w: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-Liter-Heizöltank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492729FE" w:rsidR="005C47D0" w:rsidRPr="005C47D0" w:rsidRDefault="005C47D0" w:rsidP="005C47D0">
            <w:pPr>
              <w:rPr>
                <w:rFonts w:ascii="Titillium Web" w:hAnsi="Titillium Web"/>
                <w:sz w:val="20"/>
                <w:szCs w:val="20"/>
              </w:rPr>
            </w:pPr>
            <w:r w:rsidRPr="005C47D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Mittel ab 130 kW bis 350 kW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56668C7E" w:rsidR="008C06DB" w:rsidRPr="004A4EEA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4531C2" w:rsidRPr="004A4EEA" w14:paraId="641F27A3" w14:textId="3E15F382" w:rsidTr="00BA4D23">
        <w:tc>
          <w:tcPr>
            <w:tcW w:w="5022" w:type="dxa"/>
            <w:vAlign w:val="center"/>
          </w:tcPr>
          <w:p w14:paraId="3055BC22" w14:textId="0207FC91" w:rsidR="004531C2" w:rsidRPr="002169EF" w:rsidRDefault="004531C2" w:rsidP="004531C2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Anlieferung</w:t>
            </w:r>
          </w:p>
        </w:tc>
        <w:tc>
          <w:tcPr>
            <w:tcW w:w="1701" w:type="dxa"/>
            <w:vAlign w:val="center"/>
          </w:tcPr>
          <w:p w14:paraId="2AF9082C" w14:textId="12B28D6F" w:rsidR="004531C2" w:rsidRPr="002169EF" w:rsidRDefault="004531C2" w:rsidP="004531C2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2169EF">
              <w:rPr>
                <w:rFonts w:ascii="Titillium Web" w:hAnsi="Titillium Web" w:cs="Titillium Web"/>
                <w:sz w:val="20"/>
                <w:szCs w:val="20"/>
              </w:rPr>
              <w:t>MH300CV</w:t>
            </w:r>
          </w:p>
        </w:tc>
        <w:tc>
          <w:tcPr>
            <w:tcW w:w="1980" w:type="dxa"/>
            <w:vAlign w:val="center"/>
          </w:tcPr>
          <w:p w14:paraId="6B2BA5CE" w14:textId="03DD171D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169EF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1.742,00</w:t>
            </w:r>
          </w:p>
        </w:tc>
      </w:tr>
      <w:tr w:rsidR="004531C2" w:rsidRPr="004A4EEA" w14:paraId="360B0D42" w14:textId="0484B90A" w:rsidTr="00BA4D23">
        <w:tc>
          <w:tcPr>
            <w:tcW w:w="5022" w:type="dxa"/>
            <w:vAlign w:val="center"/>
          </w:tcPr>
          <w:p w14:paraId="1A407667" w14:textId="61B8A55B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01" w:type="dxa"/>
            <w:vAlign w:val="center"/>
          </w:tcPr>
          <w:p w14:paraId="607B12F9" w14:textId="0E5644CD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169EF">
              <w:rPr>
                <w:rFonts w:ascii="Titillium Web" w:hAnsi="Titillium Web" w:cs="Titillium Web"/>
                <w:sz w:val="20"/>
                <w:szCs w:val="20"/>
              </w:rPr>
              <w:t>300C</w:t>
            </w: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</w:t>
            </w:r>
          </w:p>
        </w:tc>
        <w:tc>
          <w:tcPr>
            <w:tcW w:w="1980" w:type="dxa"/>
            <w:vAlign w:val="center"/>
          </w:tcPr>
          <w:p w14:paraId="72BB6901" w14:textId="1991E169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169EF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91,00</w:t>
            </w:r>
          </w:p>
        </w:tc>
      </w:tr>
      <w:tr w:rsidR="004531C2" w:rsidRPr="004A4EEA" w14:paraId="2BF1FAF3" w14:textId="77777777" w:rsidTr="00BA4D23">
        <w:tc>
          <w:tcPr>
            <w:tcW w:w="5022" w:type="dxa"/>
            <w:vAlign w:val="center"/>
          </w:tcPr>
          <w:p w14:paraId="0951DB22" w14:textId="52C4BF7E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Monatsgrundmiete (30 Tage), inklusive Anlieferung</w:t>
            </w:r>
          </w:p>
        </w:tc>
        <w:tc>
          <w:tcPr>
            <w:tcW w:w="1701" w:type="dxa"/>
            <w:vAlign w:val="center"/>
          </w:tcPr>
          <w:p w14:paraId="2450543C" w14:textId="6C1505BF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169EF">
              <w:rPr>
                <w:rFonts w:ascii="Titillium Web" w:hAnsi="Titillium Web" w:cs="Titillium Web"/>
                <w:sz w:val="20"/>
                <w:szCs w:val="20"/>
              </w:rPr>
              <w:t>300C</w:t>
            </w: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VM</w:t>
            </w:r>
          </w:p>
        </w:tc>
        <w:tc>
          <w:tcPr>
            <w:tcW w:w="1980" w:type="dxa"/>
            <w:vAlign w:val="center"/>
          </w:tcPr>
          <w:p w14:paraId="38BC5412" w14:textId="3EC6F3F3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169EF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2.849,00</w:t>
            </w:r>
          </w:p>
        </w:tc>
      </w:tr>
      <w:tr w:rsidR="004531C2" w:rsidRPr="004A4EEA" w14:paraId="0FC36BEE" w14:textId="77777777" w:rsidTr="00BA4D23">
        <w:tc>
          <w:tcPr>
            <w:tcW w:w="5022" w:type="dxa"/>
            <w:vAlign w:val="center"/>
          </w:tcPr>
          <w:p w14:paraId="527CF94D" w14:textId="4648BCF3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31. Tag)</w:t>
            </w:r>
          </w:p>
        </w:tc>
        <w:tc>
          <w:tcPr>
            <w:tcW w:w="1701" w:type="dxa"/>
            <w:vAlign w:val="center"/>
          </w:tcPr>
          <w:p w14:paraId="1F74E554" w14:textId="6F394020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169EF">
              <w:rPr>
                <w:rFonts w:ascii="Titillium Web" w:hAnsi="Titillium Web" w:cs="Titillium Web"/>
                <w:sz w:val="20"/>
                <w:szCs w:val="20"/>
              </w:rPr>
              <w:t>300C</w:t>
            </w: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VT31</w:t>
            </w:r>
          </w:p>
        </w:tc>
        <w:tc>
          <w:tcPr>
            <w:tcW w:w="1980" w:type="dxa"/>
            <w:vAlign w:val="center"/>
          </w:tcPr>
          <w:p w14:paraId="628E7FA3" w14:textId="6863CA86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169EF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69,00</w:t>
            </w:r>
          </w:p>
        </w:tc>
      </w:tr>
      <w:tr w:rsidR="004531C2" w:rsidRPr="004A4EEA" w14:paraId="7ADADC2C" w14:textId="77777777" w:rsidTr="00BA4D23">
        <w:tc>
          <w:tcPr>
            <w:tcW w:w="5022" w:type="dxa"/>
            <w:vAlign w:val="center"/>
          </w:tcPr>
          <w:p w14:paraId="7BFFD8DE" w14:textId="37A3C4E8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121. Tag)</w:t>
            </w:r>
          </w:p>
        </w:tc>
        <w:tc>
          <w:tcPr>
            <w:tcW w:w="1701" w:type="dxa"/>
            <w:vAlign w:val="center"/>
          </w:tcPr>
          <w:p w14:paraId="212FB489" w14:textId="5F4BCA3E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169EF">
              <w:rPr>
                <w:rFonts w:ascii="Titillium Web" w:hAnsi="Titillium Web" w:cs="Titillium Web"/>
                <w:sz w:val="20"/>
                <w:szCs w:val="20"/>
              </w:rPr>
              <w:t>300C</w:t>
            </w: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VT121</w:t>
            </w:r>
          </w:p>
        </w:tc>
        <w:tc>
          <w:tcPr>
            <w:tcW w:w="1980" w:type="dxa"/>
            <w:vAlign w:val="center"/>
          </w:tcPr>
          <w:p w14:paraId="3E2DB739" w14:textId="3C48FF9B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169EF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64,00</w:t>
            </w:r>
          </w:p>
        </w:tc>
      </w:tr>
      <w:tr w:rsidR="004531C2" w:rsidRPr="004A4EEA" w14:paraId="2FCBFF26" w14:textId="77777777" w:rsidTr="00BA4D23">
        <w:tc>
          <w:tcPr>
            <w:tcW w:w="5022" w:type="dxa"/>
            <w:vAlign w:val="center"/>
          </w:tcPr>
          <w:p w14:paraId="1876B249" w14:textId="4E1D6E71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181. Tag)</w:t>
            </w:r>
          </w:p>
        </w:tc>
        <w:tc>
          <w:tcPr>
            <w:tcW w:w="1701" w:type="dxa"/>
            <w:vAlign w:val="center"/>
          </w:tcPr>
          <w:p w14:paraId="1CA2471B" w14:textId="0019587D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</w:t>
            </w:r>
            <w:r w:rsidRPr="002169EF">
              <w:rPr>
                <w:rFonts w:ascii="Titillium Web" w:hAnsi="Titillium Web" w:cs="Titillium Web"/>
                <w:sz w:val="20"/>
                <w:szCs w:val="20"/>
              </w:rPr>
              <w:t>300C</w:t>
            </w: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VT181</w:t>
            </w:r>
          </w:p>
        </w:tc>
        <w:tc>
          <w:tcPr>
            <w:tcW w:w="1980" w:type="dxa"/>
            <w:vAlign w:val="center"/>
          </w:tcPr>
          <w:p w14:paraId="188E8D36" w14:textId="133BD396" w:rsidR="004531C2" w:rsidRPr="002169EF" w:rsidRDefault="004531C2" w:rsidP="004531C2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169EF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54,00</w:t>
            </w:r>
          </w:p>
        </w:tc>
      </w:tr>
      <w:tr w:rsidR="004531C2" w:rsidRPr="004A4EEA" w14:paraId="62FFB92A" w14:textId="77777777" w:rsidTr="00BA4D23">
        <w:tc>
          <w:tcPr>
            <w:tcW w:w="5022" w:type="dxa"/>
            <w:vAlign w:val="center"/>
          </w:tcPr>
          <w:p w14:paraId="012CC988" w14:textId="64D0D873" w:rsidR="004531C2" w:rsidRPr="002169EF" w:rsidRDefault="004531C2" w:rsidP="004531C2">
            <w:pPr>
              <w:rPr>
                <w:rFonts w:ascii="Titillium Web" w:hAnsi="Titillium Web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Anschluss und Inbetriebnahme (IBN) mobiheat</w:t>
            </w:r>
          </w:p>
        </w:tc>
        <w:tc>
          <w:tcPr>
            <w:tcW w:w="1701" w:type="dxa"/>
            <w:vAlign w:val="center"/>
          </w:tcPr>
          <w:p w14:paraId="2E3C1F21" w14:textId="6D9021D3" w:rsidR="004531C2" w:rsidRPr="002169EF" w:rsidRDefault="004531C2" w:rsidP="004531C2">
            <w:pPr>
              <w:rPr>
                <w:rFonts w:ascii="Titillium Web" w:hAnsi="Titillium Web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MHIBN300</w:t>
            </w:r>
          </w:p>
        </w:tc>
        <w:tc>
          <w:tcPr>
            <w:tcW w:w="1980" w:type="dxa"/>
            <w:vAlign w:val="center"/>
          </w:tcPr>
          <w:p w14:paraId="5382FBB9" w14:textId="248F52A4" w:rsidR="004531C2" w:rsidRPr="002169EF" w:rsidRDefault="004531C2" w:rsidP="004531C2">
            <w:pPr>
              <w:rPr>
                <w:rFonts w:ascii="Titillium Web" w:hAnsi="Titillium Web"/>
                <w:b/>
                <w:bCs/>
                <w:sz w:val="20"/>
                <w:szCs w:val="20"/>
              </w:rPr>
            </w:pPr>
            <w:r w:rsidRPr="002169EF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265,00</w:t>
            </w:r>
          </w:p>
        </w:tc>
      </w:tr>
      <w:tr w:rsidR="004531C2" w:rsidRPr="004A4EEA" w14:paraId="53E9A0C8" w14:textId="77777777" w:rsidTr="00BA4D23">
        <w:tc>
          <w:tcPr>
            <w:tcW w:w="5022" w:type="dxa"/>
            <w:vAlign w:val="center"/>
          </w:tcPr>
          <w:p w14:paraId="6DB60A44" w14:textId="57A29B6E" w:rsidR="004531C2" w:rsidRPr="002169EF" w:rsidRDefault="004531C2" w:rsidP="004531C2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Vollentsalzung/Kesselschutz nach VDI2035 (IBN) mobiheat (RG DL lfd. BV/</w:t>
            </w:r>
            <w:r w:rsidR="002169EF"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Betrieb) *</w:t>
            </w:r>
          </w:p>
        </w:tc>
        <w:tc>
          <w:tcPr>
            <w:tcW w:w="1701" w:type="dxa"/>
            <w:vAlign w:val="center"/>
          </w:tcPr>
          <w:p w14:paraId="7BB4CACF" w14:textId="23D49383" w:rsidR="004531C2" w:rsidRPr="002169EF" w:rsidRDefault="004531C2" w:rsidP="004531C2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MHVE300</w:t>
            </w:r>
          </w:p>
        </w:tc>
        <w:tc>
          <w:tcPr>
            <w:tcW w:w="1980" w:type="dxa"/>
            <w:vAlign w:val="center"/>
          </w:tcPr>
          <w:p w14:paraId="61D56DFE" w14:textId="04616CC1" w:rsidR="004531C2" w:rsidRPr="002169EF" w:rsidRDefault="004531C2" w:rsidP="004531C2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169EF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98,00</w:t>
            </w:r>
          </w:p>
        </w:tc>
      </w:tr>
      <w:tr w:rsidR="004531C2" w:rsidRPr="004A4EEA" w14:paraId="6C1F3088" w14:textId="77777777" w:rsidTr="00BA4D23">
        <w:tc>
          <w:tcPr>
            <w:tcW w:w="5022" w:type="dxa"/>
            <w:vAlign w:val="center"/>
          </w:tcPr>
          <w:p w14:paraId="10DBF5B6" w14:textId="2895D49F" w:rsidR="004531C2" w:rsidRPr="002169EF" w:rsidRDefault="004531C2" w:rsidP="004531C2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lastRenderedPageBreak/>
              <w:t xml:space="preserve">Heizölmenge für IBN (ca. 200 Liter), pro </w:t>
            </w:r>
            <w:proofErr w:type="spellStart"/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Ltr</w:t>
            </w:r>
            <w:proofErr w:type="spellEnd"/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. (RG DL Brennstoff)</w:t>
            </w:r>
          </w:p>
        </w:tc>
        <w:tc>
          <w:tcPr>
            <w:tcW w:w="1701" w:type="dxa"/>
            <w:vAlign w:val="center"/>
          </w:tcPr>
          <w:p w14:paraId="616E0010" w14:textId="170AAD8F" w:rsidR="004531C2" w:rsidRPr="002169EF" w:rsidRDefault="004531C2" w:rsidP="004531C2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169EF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MHOIL200</w:t>
            </w:r>
          </w:p>
        </w:tc>
        <w:tc>
          <w:tcPr>
            <w:tcW w:w="1980" w:type="dxa"/>
            <w:vAlign w:val="center"/>
          </w:tcPr>
          <w:p w14:paraId="54055874" w14:textId="0FB0F99B" w:rsidR="004531C2" w:rsidRPr="002169EF" w:rsidRDefault="004531C2" w:rsidP="004531C2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169EF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2,00</w:t>
            </w:r>
          </w:p>
        </w:tc>
      </w:tr>
      <w:tr w:rsidR="00BA4D23" w:rsidRPr="004A4EEA" w14:paraId="425D3EAE" w14:textId="77777777" w:rsidTr="00D26D1E">
        <w:trPr>
          <w:trHeight w:val="559"/>
        </w:trPr>
        <w:tc>
          <w:tcPr>
            <w:tcW w:w="5022" w:type="dxa"/>
            <w:vAlign w:val="center"/>
          </w:tcPr>
          <w:p w14:paraId="4F7A70D1" w14:textId="6B1C976D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Zubehö</w:t>
            </w:r>
            <w:r w:rsidR="00D26D1E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</w:t>
            </w:r>
          </w:p>
        </w:tc>
        <w:tc>
          <w:tcPr>
            <w:tcW w:w="3681" w:type="dxa"/>
            <w:gridSpan w:val="2"/>
            <w:vAlign w:val="center"/>
          </w:tcPr>
          <w:p w14:paraId="6278763F" w14:textId="00BB5775" w:rsidR="00BA4D23" w:rsidRPr="004A4EEA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RG DL Zubehör</w:t>
            </w:r>
          </w:p>
        </w:tc>
      </w:tr>
      <w:tr w:rsidR="00BA4D23" w:rsidRPr="004A4EEA" w14:paraId="02FA563A" w14:textId="77777777" w:rsidTr="00B45FB2">
        <w:tc>
          <w:tcPr>
            <w:tcW w:w="8703" w:type="dxa"/>
            <w:gridSpan w:val="3"/>
            <w:vAlign w:val="center"/>
          </w:tcPr>
          <w:p w14:paraId="08F03A54" w14:textId="72774AD3" w:rsidR="00BA4D23" w:rsidRPr="00BA4D23" w:rsidRDefault="00BA4D23" w:rsidP="004A4EEA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BA4D23" w:rsidRPr="004A4EEA" w14:paraId="2F77F95D" w14:textId="77777777" w:rsidTr="00BA4D23">
        <w:tc>
          <w:tcPr>
            <w:tcW w:w="5022" w:type="dxa"/>
            <w:vAlign w:val="center"/>
          </w:tcPr>
          <w:p w14:paraId="69D03EB2" w14:textId="5B9BD224" w:rsidR="00BA4D23" w:rsidRPr="00BA4D23" w:rsidRDefault="00BA4D23" w:rsidP="00BA4D23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proofErr w:type="spellStart"/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ietkondtitionen</w:t>
            </w:r>
            <w:proofErr w:type="spellEnd"/>
          </w:p>
        </w:tc>
        <w:tc>
          <w:tcPr>
            <w:tcW w:w="1701" w:type="dxa"/>
            <w:vAlign w:val="center"/>
          </w:tcPr>
          <w:p w14:paraId="750232CA" w14:textId="01EC05BE" w:rsidR="00BA4D23" w:rsidRPr="00BA4D23" w:rsidRDefault="00BA4D23" w:rsidP="00BA4D23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BA4D23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</w:t>
            </w:r>
            <w:r w:rsidRPr="00BA4D23">
              <w:rPr>
                <w:rStyle w:val="Taballe-Text"/>
                <w:rFonts w:ascii="Titillium Web" w:hAnsi="Titillium Web"/>
                <w:sz w:val="20"/>
                <w:szCs w:val="20"/>
              </w:rPr>
              <w:t>rtikel-Nr.</w:t>
            </w:r>
          </w:p>
        </w:tc>
        <w:tc>
          <w:tcPr>
            <w:tcW w:w="1980" w:type="dxa"/>
            <w:vAlign w:val="center"/>
          </w:tcPr>
          <w:p w14:paraId="70636072" w14:textId="4CE352E7" w:rsidR="00BA4D23" w:rsidRPr="00BA4D23" w:rsidRDefault="00BA4D23" w:rsidP="00BA4D23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BA4D23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29498C" w:rsidRPr="004A4EEA" w14:paraId="0BDE65BE" w14:textId="77777777" w:rsidTr="00BA4D23">
        <w:tc>
          <w:tcPr>
            <w:tcW w:w="5022" w:type="dxa"/>
            <w:vAlign w:val="center"/>
          </w:tcPr>
          <w:p w14:paraId="65A66ABA" w14:textId="011BE601" w:rsidR="0029498C" w:rsidRPr="0029498C" w:rsidRDefault="0029498C" w:rsidP="0029498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Verlängerung Anbindeleitung VL/RL, je 10 m (Pauschale für 7 Tage)</w:t>
            </w:r>
          </w:p>
        </w:tc>
        <w:tc>
          <w:tcPr>
            <w:tcW w:w="1701" w:type="dxa"/>
            <w:vAlign w:val="center"/>
          </w:tcPr>
          <w:p w14:paraId="3C596020" w14:textId="6717280C" w:rsidR="0029498C" w:rsidRPr="0029498C" w:rsidRDefault="0029498C" w:rsidP="0029498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MHABL3007</w:t>
            </w:r>
          </w:p>
        </w:tc>
        <w:tc>
          <w:tcPr>
            <w:tcW w:w="1980" w:type="dxa"/>
            <w:vAlign w:val="center"/>
          </w:tcPr>
          <w:p w14:paraId="4BC97D72" w14:textId="160C05AC" w:rsidR="0029498C" w:rsidRPr="0029498C" w:rsidRDefault="0029498C" w:rsidP="0029498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9498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12,00</w:t>
            </w:r>
          </w:p>
        </w:tc>
      </w:tr>
      <w:tr w:rsidR="0029498C" w:rsidRPr="004A4EEA" w14:paraId="4ADC378B" w14:textId="77777777" w:rsidTr="00BA4D23">
        <w:tc>
          <w:tcPr>
            <w:tcW w:w="5022" w:type="dxa"/>
            <w:vAlign w:val="center"/>
          </w:tcPr>
          <w:p w14:paraId="3016D121" w14:textId="2396ABFC" w:rsidR="0029498C" w:rsidRPr="0029498C" w:rsidRDefault="0029498C" w:rsidP="0029498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Verlängerung Anbindeleitung VL/RL, je 10 m (Pauschale für 30 Tage)</w:t>
            </w:r>
          </w:p>
        </w:tc>
        <w:tc>
          <w:tcPr>
            <w:tcW w:w="1701" w:type="dxa"/>
            <w:vAlign w:val="center"/>
          </w:tcPr>
          <w:p w14:paraId="7661BA19" w14:textId="41132240" w:rsidR="0029498C" w:rsidRPr="0029498C" w:rsidRDefault="0029498C" w:rsidP="0029498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9498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MHABL30030</w:t>
            </w:r>
          </w:p>
        </w:tc>
        <w:tc>
          <w:tcPr>
            <w:tcW w:w="1980" w:type="dxa"/>
            <w:vAlign w:val="center"/>
          </w:tcPr>
          <w:p w14:paraId="1E2D4C7E" w14:textId="5DD7DA9F" w:rsidR="0029498C" w:rsidRPr="0029498C" w:rsidRDefault="0029498C" w:rsidP="0029498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9498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48,00</w:t>
            </w:r>
          </w:p>
        </w:tc>
      </w:tr>
      <w:tr w:rsidR="00433D9C" w:rsidRPr="004A4EEA" w14:paraId="6CEF83F9" w14:textId="77777777" w:rsidTr="001A1627">
        <w:tc>
          <w:tcPr>
            <w:tcW w:w="8703" w:type="dxa"/>
            <w:gridSpan w:val="3"/>
            <w:vAlign w:val="center"/>
          </w:tcPr>
          <w:p w14:paraId="290982E6" w14:textId="77777777" w:rsidR="00433D9C" w:rsidRPr="00433D9C" w:rsidRDefault="00433D9C" w:rsidP="003B3036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433D9C" w:rsidRPr="004A4EEA" w14:paraId="2A1CAEA8" w14:textId="77777777" w:rsidTr="00BA4D23">
        <w:tc>
          <w:tcPr>
            <w:tcW w:w="5022" w:type="dxa"/>
            <w:vAlign w:val="center"/>
          </w:tcPr>
          <w:p w14:paraId="4C1DCBAA" w14:textId="7C22FCCD" w:rsidR="00433D9C" w:rsidRPr="00433D9C" w:rsidRDefault="00433D9C" w:rsidP="00433D9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Brennstoffversorgung</w:t>
            </w:r>
          </w:p>
        </w:tc>
        <w:tc>
          <w:tcPr>
            <w:tcW w:w="1701" w:type="dxa"/>
            <w:vAlign w:val="center"/>
          </w:tcPr>
          <w:p w14:paraId="2E1B088F" w14:textId="422F7E82" w:rsidR="00433D9C" w:rsidRPr="00433D9C" w:rsidRDefault="00433D9C" w:rsidP="00433D9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Artikel-Nr.</w:t>
            </w:r>
          </w:p>
        </w:tc>
        <w:tc>
          <w:tcPr>
            <w:tcW w:w="1980" w:type="dxa"/>
            <w:vAlign w:val="center"/>
          </w:tcPr>
          <w:p w14:paraId="5E241A95" w14:textId="33151141" w:rsidR="00433D9C" w:rsidRPr="00433D9C" w:rsidRDefault="00433D9C" w:rsidP="00433D9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Preis EUR</w:t>
            </w:r>
          </w:p>
        </w:tc>
      </w:tr>
      <w:tr w:rsidR="00433D9C" w:rsidRPr="004A4EEA" w14:paraId="4FA739AE" w14:textId="77777777" w:rsidTr="00BA4D23">
        <w:tc>
          <w:tcPr>
            <w:tcW w:w="5022" w:type="dxa"/>
            <w:vAlign w:val="center"/>
          </w:tcPr>
          <w:p w14:paraId="5434947D" w14:textId="4C7A1221" w:rsidR="00433D9C" w:rsidRPr="00433D9C" w:rsidRDefault="00433D9C" w:rsidP="00433D9C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Abrechnung pro Liter nach tats. Verbrauch (RG DL lfd. BV/Betrieb)</w:t>
            </w:r>
          </w:p>
        </w:tc>
        <w:tc>
          <w:tcPr>
            <w:tcW w:w="1701" w:type="dxa"/>
            <w:vAlign w:val="center"/>
          </w:tcPr>
          <w:p w14:paraId="00316744" w14:textId="021646FF" w:rsidR="00433D9C" w:rsidRPr="00433D9C" w:rsidRDefault="00433D9C" w:rsidP="00433D9C">
            <w:pPr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433D9C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MHOILBV</w:t>
            </w:r>
          </w:p>
        </w:tc>
        <w:tc>
          <w:tcPr>
            <w:tcW w:w="1980" w:type="dxa"/>
            <w:vAlign w:val="center"/>
          </w:tcPr>
          <w:p w14:paraId="025345BE" w14:textId="2BAE514C" w:rsidR="00433D9C" w:rsidRPr="00433D9C" w:rsidRDefault="00433D9C" w:rsidP="00433D9C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433D9C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auf Anfrage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3FD249C" w14:textId="236F98D9" w:rsidR="00BA4D23" w:rsidRP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20"/>
          <w:szCs w:val="20"/>
        </w:rPr>
      </w:pPr>
      <w:r w:rsidRPr="00BA4D23">
        <w:rPr>
          <w:rFonts w:ascii="Titillium Web" w:hAnsi="Titillium Web" w:cs="Titillium Web"/>
          <w:i/>
          <w:iCs/>
          <w:color w:val="000000"/>
          <w:sz w:val="20"/>
          <w:szCs w:val="20"/>
        </w:rPr>
        <w:t>* Hier wird nur der Wasserinhalt der Heizzentrale abgedeckt!</w:t>
      </w: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4708F8">
      <w:headerReference w:type="default" r:id="rId8"/>
      <w:pgSz w:w="11906" w:h="16838"/>
      <w:pgMar w:top="1843" w:right="1416" w:bottom="241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76C0F"/>
    <w:multiLevelType w:val="hybridMultilevel"/>
    <w:tmpl w:val="777A1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B2A40"/>
    <w:multiLevelType w:val="hybridMultilevel"/>
    <w:tmpl w:val="5A2A4ED0"/>
    <w:lvl w:ilvl="0" w:tplc="CBD2C4A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C5D77"/>
    <w:multiLevelType w:val="hybridMultilevel"/>
    <w:tmpl w:val="CA76B7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00D17"/>
    <w:multiLevelType w:val="hybridMultilevel"/>
    <w:tmpl w:val="803E6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D3479"/>
    <w:multiLevelType w:val="hybridMultilevel"/>
    <w:tmpl w:val="A3C09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21067"/>
    <w:multiLevelType w:val="hybridMultilevel"/>
    <w:tmpl w:val="DED64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A2431"/>
    <w:multiLevelType w:val="hybridMultilevel"/>
    <w:tmpl w:val="57EC6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23070"/>
    <w:multiLevelType w:val="hybridMultilevel"/>
    <w:tmpl w:val="072456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12245"/>
    <w:multiLevelType w:val="hybridMultilevel"/>
    <w:tmpl w:val="E45C1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12"/>
  </w:num>
  <w:num w:numId="5">
    <w:abstractNumId w:val="27"/>
  </w:num>
  <w:num w:numId="6">
    <w:abstractNumId w:val="5"/>
  </w:num>
  <w:num w:numId="7">
    <w:abstractNumId w:val="17"/>
  </w:num>
  <w:num w:numId="8">
    <w:abstractNumId w:val="4"/>
  </w:num>
  <w:num w:numId="9">
    <w:abstractNumId w:val="16"/>
  </w:num>
  <w:num w:numId="10">
    <w:abstractNumId w:val="10"/>
  </w:num>
  <w:num w:numId="11">
    <w:abstractNumId w:val="2"/>
  </w:num>
  <w:num w:numId="12">
    <w:abstractNumId w:val="8"/>
  </w:num>
  <w:num w:numId="13">
    <w:abstractNumId w:val="9"/>
  </w:num>
  <w:num w:numId="14">
    <w:abstractNumId w:val="25"/>
  </w:num>
  <w:num w:numId="15">
    <w:abstractNumId w:val="13"/>
  </w:num>
  <w:num w:numId="16">
    <w:abstractNumId w:val="19"/>
  </w:num>
  <w:num w:numId="17">
    <w:abstractNumId w:val="3"/>
  </w:num>
  <w:num w:numId="18">
    <w:abstractNumId w:val="23"/>
  </w:num>
  <w:num w:numId="19">
    <w:abstractNumId w:val="21"/>
  </w:num>
  <w:num w:numId="20">
    <w:abstractNumId w:val="22"/>
  </w:num>
  <w:num w:numId="21">
    <w:abstractNumId w:val="6"/>
  </w:num>
  <w:num w:numId="22">
    <w:abstractNumId w:val="11"/>
  </w:num>
  <w:num w:numId="23">
    <w:abstractNumId w:val="14"/>
  </w:num>
  <w:num w:numId="24">
    <w:abstractNumId w:val="15"/>
  </w:num>
  <w:num w:numId="25">
    <w:abstractNumId w:val="24"/>
  </w:num>
  <w:num w:numId="26">
    <w:abstractNumId w:val="26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0B53B9"/>
    <w:rsid w:val="00114CB7"/>
    <w:rsid w:val="0012033A"/>
    <w:rsid w:val="00196C33"/>
    <w:rsid w:val="001A7B71"/>
    <w:rsid w:val="002169EF"/>
    <w:rsid w:val="0029498C"/>
    <w:rsid w:val="003A6D82"/>
    <w:rsid w:val="003B3036"/>
    <w:rsid w:val="003C1AD4"/>
    <w:rsid w:val="00433D9C"/>
    <w:rsid w:val="004531C2"/>
    <w:rsid w:val="004708F8"/>
    <w:rsid w:val="004A4EEA"/>
    <w:rsid w:val="005C47D0"/>
    <w:rsid w:val="007367D9"/>
    <w:rsid w:val="007612CA"/>
    <w:rsid w:val="00765E95"/>
    <w:rsid w:val="007A140C"/>
    <w:rsid w:val="00864D2E"/>
    <w:rsid w:val="008C06DB"/>
    <w:rsid w:val="008E2135"/>
    <w:rsid w:val="00914D83"/>
    <w:rsid w:val="009D2A9B"/>
    <w:rsid w:val="00A41C82"/>
    <w:rsid w:val="00B05BDE"/>
    <w:rsid w:val="00B7246D"/>
    <w:rsid w:val="00BA4D23"/>
    <w:rsid w:val="00D26D1E"/>
    <w:rsid w:val="00E135ED"/>
    <w:rsid w:val="00F5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2021-02-26T08:32:00Z</dcterms:created>
  <dcterms:modified xsi:type="dcterms:W3CDTF">2021-02-26T08:32:00Z</dcterms:modified>
</cp:coreProperties>
</file>