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A9F9" w14:textId="54577083" w:rsidR="005C47D0" w:rsidRPr="007367D9" w:rsidRDefault="005C47D0" w:rsidP="005C47D0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</w:t>
      </w:r>
      <w:r w:rsidR="00E135ED">
        <w:rPr>
          <w:rFonts w:ascii="Titillium Web" w:hAnsi="Titillium Web"/>
          <w:b/>
          <w:bCs/>
        </w:rPr>
        <w:t>160QC</w:t>
      </w:r>
      <w:r>
        <w:rPr>
          <w:rFonts w:ascii="Titillium Web" w:hAnsi="Titillium Web"/>
          <w:b/>
          <w:bCs/>
        </w:rPr>
        <w:t xml:space="preserve"> | </w:t>
      </w:r>
      <w:r w:rsidR="00E135ED">
        <w:rPr>
          <w:rFonts w:ascii="Titillium Web" w:hAnsi="Titillium Web"/>
          <w:b/>
          <w:bCs/>
        </w:rPr>
        <w:t>160</w:t>
      </w:r>
      <w:r>
        <w:rPr>
          <w:rFonts w:ascii="Titillium Web" w:hAnsi="Titillium Web"/>
          <w:b/>
          <w:bCs/>
        </w:rPr>
        <w:t xml:space="preserve"> kW Heiz</w:t>
      </w:r>
      <w:r w:rsidR="00E135ED">
        <w:rPr>
          <w:rFonts w:ascii="Titillium Web" w:hAnsi="Titillium Web"/>
          <w:b/>
          <w:bCs/>
        </w:rPr>
        <w:t>container</w:t>
      </w:r>
    </w:p>
    <w:p w14:paraId="08DD81AA" w14:textId="77777777" w:rsidR="005C47D0" w:rsidRDefault="005C47D0" w:rsidP="005C47D0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2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2"/>
    <w:p w14:paraId="34C416D3" w14:textId="09A07AE0" w:rsidR="005C47D0" w:rsidRPr="00DC0E9C" w:rsidRDefault="00E135ED" w:rsidP="005C47D0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Der Heizcontainer MH160QC ist eine voll funktionsfähige mobile Heizzentrale. Der MH160QC ist eine Heizzentrale im Stahl-Technik-Container. Als kompakte und leistungsstarke Einheit können die Wärmeerzeuger ortsunabhängig und zeitnah eingesetzt werden.</w:t>
      </w:r>
    </w:p>
    <w:p w14:paraId="61AC5BBE" w14:textId="77777777" w:rsidR="005C47D0" w:rsidRDefault="005C47D0" w:rsidP="005C47D0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2C485F9E" w14:textId="77777777" w:rsidR="005C47D0" w:rsidRPr="00DC0E9C" w:rsidRDefault="005C47D0" w:rsidP="005C47D0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Merkmale:</w:t>
      </w:r>
    </w:p>
    <w:p w14:paraId="415ED7F8" w14:textId="714B73A5" w:rsidR="00765E95" w:rsidRDefault="005C47D0" w:rsidP="00E135ED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Spezial-Heizkessel für erhöhte Anforderungen</w:t>
      </w:r>
    </w:p>
    <w:p w14:paraId="76A06ABD" w14:textId="09E06A38" w:rsidR="00E135ED" w:rsidRDefault="00E135ED" w:rsidP="00E135ED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 xml:space="preserve">Zweistoffbrenner </w:t>
      </w:r>
    </w:p>
    <w:p w14:paraId="367B507D" w14:textId="77777777" w:rsidR="00E135ED" w:rsidRDefault="00E135ED" w:rsidP="00E135ED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 xml:space="preserve">Pumpengruppe mit Mischer </w:t>
      </w:r>
    </w:p>
    <w:p w14:paraId="72A86556" w14:textId="33CBA64D" w:rsidR="00E135ED" w:rsidRDefault="00E135ED" w:rsidP="0029498C">
      <w:pPr>
        <w:pStyle w:val="Listenabsatz"/>
        <w:numPr>
          <w:ilvl w:val="1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135ED">
        <w:rPr>
          <w:rFonts w:ascii="Titillium Web" w:hAnsi="Titillium Web" w:cs="Titillium Web"/>
          <w:color w:val="000000"/>
          <w:sz w:val="20"/>
          <w:szCs w:val="20"/>
        </w:rPr>
        <w:t xml:space="preserve">Optional mit </w:t>
      </w:r>
      <w:proofErr w:type="spellStart"/>
      <w:r w:rsidRPr="00E135ED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E135ED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Regelung oder Estrichaufheizprogramme</w:t>
      </w:r>
    </w:p>
    <w:p w14:paraId="26B7981D" w14:textId="285689FC" w:rsidR="00E135ED" w:rsidRDefault="00E135ED" w:rsidP="00E135ED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>
        <w:rPr>
          <w:rFonts w:ascii="Titillium Web" w:hAnsi="Titillium Web" w:cs="Titillium Web"/>
          <w:color w:val="000000"/>
          <w:sz w:val="20"/>
          <w:szCs w:val="20"/>
        </w:rPr>
        <w:t>Doppelw</w:t>
      </w:r>
      <w:proofErr w:type="spellEnd"/>
      <w:r>
        <w:rPr>
          <w:rFonts w:ascii="Titillium Web" w:hAnsi="Titillium Web" w:cs="Titillium Web"/>
          <w:color w:val="000000"/>
          <w:sz w:val="20"/>
          <w:szCs w:val="20"/>
        </w:rPr>
        <w:t>. Edelstahl-Abgaskamin</w:t>
      </w:r>
    </w:p>
    <w:p w14:paraId="4FD77A8F" w14:textId="381F237C" w:rsidR="00E135ED" w:rsidRDefault="00E135ED" w:rsidP="00E135ED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Frostschutzsicherung (elektrisches Heizgebläse)</w:t>
      </w:r>
    </w:p>
    <w:p w14:paraId="1DA12A75" w14:textId="471BE345" w:rsidR="00E135ED" w:rsidRDefault="00E135ED" w:rsidP="00E135ED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Flexible Schläuche</w:t>
      </w:r>
    </w:p>
    <w:p w14:paraId="13EA9F84" w14:textId="37F9FBE1" w:rsidR="00E135ED" w:rsidRDefault="00E135ED" w:rsidP="00E135ED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p w14:paraId="58BC892E" w14:textId="34903BB1" w:rsidR="00E135ED" w:rsidRPr="00E135ED" w:rsidRDefault="00E135ED" w:rsidP="00E135ED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 xml:space="preserve">Sicherungsschellen für </w:t>
      </w:r>
      <w:proofErr w:type="spellStart"/>
      <w:r>
        <w:rPr>
          <w:rFonts w:ascii="Titillium Web" w:hAnsi="Titillium Web" w:cs="Titillium Web"/>
          <w:color w:val="000000"/>
          <w:sz w:val="20"/>
          <w:szCs w:val="20"/>
        </w:rPr>
        <w:t>Storzverbindungen</w:t>
      </w:r>
      <w:proofErr w:type="spellEnd"/>
    </w:p>
    <w:p w14:paraId="510C5952" w14:textId="7CED4807" w:rsidR="00E135ED" w:rsidRPr="00E135ED" w:rsidRDefault="00E135ED" w:rsidP="00E135ED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Inkl. Verlängerungskabel (Schuko)</w:t>
      </w:r>
    </w:p>
    <w:bookmarkEnd w:id="1"/>
    <w:p w14:paraId="639F1732" w14:textId="77777777" w:rsidR="00E135ED" w:rsidRPr="00E135ED" w:rsidRDefault="00E135ED" w:rsidP="00E135ED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7167DA53" w14:textId="626E6D8F" w:rsidR="00E135ED" w:rsidRPr="00E135ED" w:rsidRDefault="00E135ED" w:rsidP="00E135ED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135ED">
        <w:rPr>
          <w:rFonts w:ascii="Titillium Web" w:hAnsi="Titillium Web" w:cs="Titillium Web"/>
          <w:color w:val="000000"/>
          <w:sz w:val="20"/>
          <w:szCs w:val="20"/>
        </w:rPr>
        <w:t>A</w:t>
      </w:r>
      <w:r w:rsidRPr="00E135ED">
        <w:rPr>
          <w:rFonts w:ascii="Titillium Web" w:hAnsi="Titillium Web" w:cs="Titillium Web"/>
          <w:color w:val="000000"/>
          <w:sz w:val="20"/>
          <w:szCs w:val="20"/>
        </w:rPr>
        <w:t xml:space="preserve">nlieferung und Abholung </w:t>
      </w:r>
    </w:p>
    <w:p w14:paraId="382F84D5" w14:textId="416DE309" w:rsidR="00E135ED" w:rsidRPr="00E135ED" w:rsidRDefault="00E135ED" w:rsidP="00E135ED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135ED">
        <w:rPr>
          <w:rFonts w:ascii="Titillium Web" w:hAnsi="Titillium Web" w:cs="Titillium Web"/>
          <w:color w:val="000000"/>
          <w:sz w:val="20"/>
          <w:szCs w:val="20"/>
        </w:rPr>
        <w:t>Inkl. Anbindeleitungen (für je 10 m Vorlauf und Rücklauf)</w:t>
      </w:r>
    </w:p>
    <w:p w14:paraId="1207C1C3" w14:textId="2FABB32D" w:rsidR="00E135ED" w:rsidRPr="00E135ED" w:rsidRDefault="00E135ED" w:rsidP="00E135ED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135ED">
        <w:rPr>
          <w:rFonts w:ascii="Titillium Web" w:hAnsi="Titillium Web" w:cs="Titillium Web"/>
          <w:color w:val="000000"/>
          <w:sz w:val="20"/>
          <w:szCs w:val="20"/>
        </w:rPr>
        <w:t>Inkl. Stromkabel 20 m</w:t>
      </w:r>
    </w:p>
    <w:p w14:paraId="4EA11C46" w14:textId="69059631" w:rsidR="00E135ED" w:rsidRPr="00E135ED" w:rsidRDefault="00E135ED" w:rsidP="00E135ED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135ED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15C67962" w14:textId="165FD5A2" w:rsidR="00E135ED" w:rsidRPr="00E135ED" w:rsidRDefault="00E135ED" w:rsidP="00E135ED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135ED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3508CE89" w14:textId="4ED5B026" w:rsidR="00E135ED" w:rsidRPr="0029498C" w:rsidRDefault="00E135ED" w:rsidP="00E135ED">
      <w:pPr>
        <w:pStyle w:val="Listenabsatz"/>
        <w:numPr>
          <w:ilvl w:val="0"/>
          <w:numId w:val="26"/>
        </w:numPr>
        <w:spacing w:line="240" w:lineRule="auto"/>
        <w:rPr>
          <w:rFonts w:ascii="Titillium Web" w:hAnsi="Titillium Web"/>
          <w:sz w:val="20"/>
          <w:szCs w:val="20"/>
        </w:rPr>
      </w:pPr>
      <w:r w:rsidRPr="00E135ED">
        <w:rPr>
          <w:rFonts w:ascii="Titillium Web" w:hAnsi="Titillium Web" w:cs="Titillium Web"/>
          <w:color w:val="000000"/>
          <w:sz w:val="20"/>
          <w:szCs w:val="20"/>
        </w:rPr>
        <w:t xml:space="preserve">Anliefertag und Abmeldetag werden als </w:t>
      </w:r>
      <w:proofErr w:type="spellStart"/>
      <w:r w:rsidRPr="00E135ED">
        <w:rPr>
          <w:rFonts w:ascii="Titillium Web" w:hAnsi="Titillium Web" w:cs="Titillium Web"/>
          <w:color w:val="000000"/>
          <w:sz w:val="20"/>
          <w:szCs w:val="20"/>
        </w:rPr>
        <w:t>Miettag</w:t>
      </w:r>
      <w:proofErr w:type="spellEnd"/>
      <w:r w:rsidRPr="00E135ED">
        <w:rPr>
          <w:rFonts w:ascii="Titillium Web" w:hAnsi="Titillium Web" w:cs="Titillium Web"/>
          <w:color w:val="000000"/>
          <w:sz w:val="20"/>
          <w:szCs w:val="20"/>
        </w:rPr>
        <w:t xml:space="preserve"> berechnet!</w:t>
      </w:r>
    </w:p>
    <w:p w14:paraId="76D37EDD" w14:textId="77777777" w:rsidR="0029498C" w:rsidRPr="00E135ED" w:rsidRDefault="0029498C" w:rsidP="0029498C">
      <w:pPr>
        <w:pStyle w:val="Listenabsatz"/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5C47D0" w:rsidRPr="004A4EEA" w14:paraId="165D7BB8" w14:textId="77777777" w:rsidTr="00BA4D23">
        <w:tc>
          <w:tcPr>
            <w:tcW w:w="5022" w:type="dxa"/>
            <w:vAlign w:val="center"/>
          </w:tcPr>
          <w:p w14:paraId="403F21E4" w14:textId="1D533436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Heizmobil bis 320 kW mit 1.500-Liter-Heizöltank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492729FE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Mittel ab 130 kW bis 350 kW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29498C" w:rsidRPr="004A4EEA" w14:paraId="641F27A3" w14:textId="3E15F382" w:rsidTr="00BA4D23">
        <w:tc>
          <w:tcPr>
            <w:tcW w:w="5022" w:type="dxa"/>
            <w:vAlign w:val="center"/>
          </w:tcPr>
          <w:p w14:paraId="3055BC22" w14:textId="221A891E" w:rsidR="0029498C" w:rsidRPr="0029498C" w:rsidRDefault="0029498C" w:rsidP="0029498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Anlieferung</w:t>
            </w:r>
          </w:p>
        </w:tc>
        <w:tc>
          <w:tcPr>
            <w:tcW w:w="1701" w:type="dxa"/>
            <w:vAlign w:val="center"/>
          </w:tcPr>
          <w:p w14:paraId="2AF9082C" w14:textId="153F12D7" w:rsidR="0029498C" w:rsidRPr="0029498C" w:rsidRDefault="0029498C" w:rsidP="0029498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29498C">
              <w:rPr>
                <w:rFonts w:ascii="Titillium Web" w:hAnsi="Titillium Web" w:cs="Titillium Web"/>
                <w:sz w:val="20"/>
                <w:szCs w:val="20"/>
              </w:rPr>
              <w:t>MH150CV</w:t>
            </w:r>
          </w:p>
        </w:tc>
        <w:tc>
          <w:tcPr>
            <w:tcW w:w="1980" w:type="dxa"/>
            <w:vAlign w:val="center"/>
          </w:tcPr>
          <w:p w14:paraId="6B2BA5CE" w14:textId="52F49D7D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9498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1.519,00</w:t>
            </w:r>
          </w:p>
        </w:tc>
      </w:tr>
      <w:tr w:rsidR="0029498C" w:rsidRPr="004A4EEA" w14:paraId="360B0D42" w14:textId="0484B90A" w:rsidTr="00BA4D23">
        <w:tc>
          <w:tcPr>
            <w:tcW w:w="5022" w:type="dxa"/>
            <w:vAlign w:val="center"/>
          </w:tcPr>
          <w:p w14:paraId="1A407667" w14:textId="041B7E1D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01" w:type="dxa"/>
            <w:vAlign w:val="center"/>
          </w:tcPr>
          <w:p w14:paraId="607B12F9" w14:textId="7FC50D35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9498C">
              <w:rPr>
                <w:rFonts w:ascii="Titillium Web" w:hAnsi="Titillium Web" w:cs="Titillium Web"/>
                <w:sz w:val="20"/>
                <w:szCs w:val="20"/>
              </w:rPr>
              <w:t>150C</w:t>
            </w: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80" w:type="dxa"/>
            <w:vAlign w:val="center"/>
          </w:tcPr>
          <w:p w14:paraId="72BB6901" w14:textId="0B15702C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9498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85,00</w:t>
            </w:r>
          </w:p>
        </w:tc>
      </w:tr>
      <w:tr w:rsidR="0029498C" w:rsidRPr="004A4EEA" w14:paraId="2BF1FAF3" w14:textId="77777777" w:rsidTr="00BA4D23">
        <w:tc>
          <w:tcPr>
            <w:tcW w:w="5022" w:type="dxa"/>
            <w:vAlign w:val="center"/>
          </w:tcPr>
          <w:p w14:paraId="0951DB22" w14:textId="6421228C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Anlieferung</w:t>
            </w:r>
          </w:p>
        </w:tc>
        <w:tc>
          <w:tcPr>
            <w:tcW w:w="1701" w:type="dxa"/>
            <w:vAlign w:val="center"/>
          </w:tcPr>
          <w:p w14:paraId="2450543C" w14:textId="72824718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9498C">
              <w:rPr>
                <w:rFonts w:ascii="Titillium Web" w:hAnsi="Titillium Web" w:cs="Titillium Web"/>
                <w:sz w:val="20"/>
                <w:szCs w:val="20"/>
              </w:rPr>
              <w:t>150C</w:t>
            </w: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80" w:type="dxa"/>
            <w:vAlign w:val="center"/>
          </w:tcPr>
          <w:p w14:paraId="38BC5412" w14:textId="7736FDFF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9498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2.585,00</w:t>
            </w:r>
          </w:p>
        </w:tc>
      </w:tr>
      <w:tr w:rsidR="0029498C" w:rsidRPr="004A4EEA" w14:paraId="0FC36BEE" w14:textId="77777777" w:rsidTr="00BA4D23">
        <w:tc>
          <w:tcPr>
            <w:tcW w:w="5022" w:type="dxa"/>
            <w:vAlign w:val="center"/>
          </w:tcPr>
          <w:p w14:paraId="527CF94D" w14:textId="0CC9EC8B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01" w:type="dxa"/>
            <w:vAlign w:val="center"/>
          </w:tcPr>
          <w:p w14:paraId="1F74E554" w14:textId="225B9731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9498C">
              <w:rPr>
                <w:rFonts w:ascii="Titillium Web" w:hAnsi="Titillium Web" w:cs="Titillium Web"/>
                <w:sz w:val="20"/>
                <w:szCs w:val="20"/>
              </w:rPr>
              <w:t>150C</w:t>
            </w: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80" w:type="dxa"/>
            <w:vAlign w:val="center"/>
          </w:tcPr>
          <w:p w14:paraId="628E7FA3" w14:textId="2E90CA82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9498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64,00</w:t>
            </w:r>
          </w:p>
        </w:tc>
      </w:tr>
      <w:tr w:rsidR="0029498C" w:rsidRPr="004A4EEA" w14:paraId="7ADADC2C" w14:textId="77777777" w:rsidTr="00BA4D23">
        <w:tc>
          <w:tcPr>
            <w:tcW w:w="5022" w:type="dxa"/>
            <w:vAlign w:val="center"/>
          </w:tcPr>
          <w:p w14:paraId="7BFFD8DE" w14:textId="68F5AA1E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01" w:type="dxa"/>
            <w:vAlign w:val="center"/>
          </w:tcPr>
          <w:p w14:paraId="212FB489" w14:textId="262EB9AE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9498C">
              <w:rPr>
                <w:rFonts w:ascii="Titillium Web" w:hAnsi="Titillium Web" w:cs="Titillium Web"/>
                <w:sz w:val="20"/>
                <w:szCs w:val="20"/>
              </w:rPr>
              <w:t>150C</w:t>
            </w: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80" w:type="dxa"/>
            <w:vAlign w:val="center"/>
          </w:tcPr>
          <w:p w14:paraId="3E2DB739" w14:textId="3D635864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9498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59,00</w:t>
            </w:r>
          </w:p>
        </w:tc>
      </w:tr>
      <w:tr w:rsidR="0029498C" w:rsidRPr="004A4EEA" w14:paraId="2FCBFF26" w14:textId="77777777" w:rsidTr="00BA4D23">
        <w:tc>
          <w:tcPr>
            <w:tcW w:w="5022" w:type="dxa"/>
            <w:vAlign w:val="center"/>
          </w:tcPr>
          <w:p w14:paraId="1876B249" w14:textId="46821519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01" w:type="dxa"/>
            <w:vAlign w:val="center"/>
          </w:tcPr>
          <w:p w14:paraId="1CA2471B" w14:textId="77E67ED8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9498C">
              <w:rPr>
                <w:rFonts w:ascii="Titillium Web" w:hAnsi="Titillium Web" w:cs="Titillium Web"/>
                <w:sz w:val="20"/>
                <w:szCs w:val="20"/>
              </w:rPr>
              <w:t>150C</w:t>
            </w: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80" w:type="dxa"/>
            <w:vAlign w:val="center"/>
          </w:tcPr>
          <w:p w14:paraId="188E8D36" w14:textId="03F435EF" w:rsidR="0029498C" w:rsidRPr="0029498C" w:rsidRDefault="0029498C" w:rsidP="0029498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9498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49,00</w:t>
            </w:r>
          </w:p>
        </w:tc>
      </w:tr>
      <w:tr w:rsidR="0029498C" w:rsidRPr="004A4EEA" w14:paraId="62FFB92A" w14:textId="77777777" w:rsidTr="00BA4D23">
        <w:tc>
          <w:tcPr>
            <w:tcW w:w="5022" w:type="dxa"/>
            <w:vAlign w:val="center"/>
          </w:tcPr>
          <w:p w14:paraId="012CC988" w14:textId="1E602178" w:rsidR="0029498C" w:rsidRPr="0029498C" w:rsidRDefault="0029498C" w:rsidP="0029498C">
            <w:pPr>
              <w:rPr>
                <w:rFonts w:ascii="Titillium Web" w:hAnsi="Titillium Web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01" w:type="dxa"/>
            <w:vAlign w:val="center"/>
          </w:tcPr>
          <w:p w14:paraId="2E3C1F21" w14:textId="75A6CD75" w:rsidR="0029498C" w:rsidRPr="0029498C" w:rsidRDefault="0029498C" w:rsidP="0029498C">
            <w:pPr>
              <w:rPr>
                <w:rFonts w:ascii="Titillium Web" w:hAnsi="Titillium Web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MHIBN300</w:t>
            </w:r>
          </w:p>
        </w:tc>
        <w:tc>
          <w:tcPr>
            <w:tcW w:w="1980" w:type="dxa"/>
            <w:vAlign w:val="center"/>
          </w:tcPr>
          <w:p w14:paraId="5382FBB9" w14:textId="725E1580" w:rsidR="0029498C" w:rsidRPr="0029498C" w:rsidRDefault="0029498C" w:rsidP="0029498C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29498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265,00</w:t>
            </w:r>
          </w:p>
        </w:tc>
      </w:tr>
      <w:tr w:rsidR="0029498C" w:rsidRPr="004A4EEA" w14:paraId="53E9A0C8" w14:textId="77777777" w:rsidTr="00BA4D23">
        <w:tc>
          <w:tcPr>
            <w:tcW w:w="5022" w:type="dxa"/>
            <w:vAlign w:val="center"/>
          </w:tcPr>
          <w:p w14:paraId="6DB60A44" w14:textId="1E6BC3A4" w:rsidR="0029498C" w:rsidRPr="0029498C" w:rsidRDefault="0029498C" w:rsidP="0029498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Vollentsalzung/Kesselschutz nach VDI2035 (IBN) mobiheat (RG DL lfd. BV/</w:t>
            </w:r>
            <w:proofErr w:type="gramStart"/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Betrieb)*</w:t>
            </w:r>
            <w:proofErr w:type="gramEnd"/>
          </w:p>
        </w:tc>
        <w:tc>
          <w:tcPr>
            <w:tcW w:w="1701" w:type="dxa"/>
            <w:vAlign w:val="center"/>
          </w:tcPr>
          <w:p w14:paraId="7BB4CACF" w14:textId="273D3309" w:rsidR="0029498C" w:rsidRPr="0029498C" w:rsidRDefault="0029498C" w:rsidP="0029498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MHVE300</w:t>
            </w:r>
          </w:p>
        </w:tc>
        <w:tc>
          <w:tcPr>
            <w:tcW w:w="1980" w:type="dxa"/>
            <w:vAlign w:val="center"/>
          </w:tcPr>
          <w:p w14:paraId="61D56DFE" w14:textId="71DBAC8B" w:rsidR="0029498C" w:rsidRPr="0029498C" w:rsidRDefault="0029498C" w:rsidP="0029498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9498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98,00</w:t>
            </w:r>
          </w:p>
        </w:tc>
      </w:tr>
      <w:tr w:rsidR="00BA4D23" w:rsidRPr="004A4EEA" w14:paraId="425D3EAE" w14:textId="77777777" w:rsidTr="00D26D1E">
        <w:trPr>
          <w:trHeight w:val="559"/>
        </w:trPr>
        <w:tc>
          <w:tcPr>
            <w:tcW w:w="5022" w:type="dxa"/>
            <w:vAlign w:val="center"/>
          </w:tcPr>
          <w:p w14:paraId="4F7A70D1" w14:textId="6B1C976D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lastRenderedPageBreak/>
              <w:t>Zubehö</w:t>
            </w:r>
            <w:r w:rsidR="00D26D1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</w:t>
            </w:r>
          </w:p>
        </w:tc>
        <w:tc>
          <w:tcPr>
            <w:tcW w:w="3681" w:type="dxa"/>
            <w:gridSpan w:val="2"/>
            <w:vAlign w:val="center"/>
          </w:tcPr>
          <w:p w14:paraId="6278763F" w14:textId="00BB5775" w:rsidR="00BA4D23" w:rsidRPr="004A4EEA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Zubehör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BA4D23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BA4D23">
        <w:tc>
          <w:tcPr>
            <w:tcW w:w="5022" w:type="dxa"/>
            <w:vAlign w:val="center"/>
          </w:tcPr>
          <w:p w14:paraId="69D03EB2" w14:textId="5B9BD224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ietkondtitionen</w:t>
            </w:r>
            <w:proofErr w:type="spellEnd"/>
          </w:p>
        </w:tc>
        <w:tc>
          <w:tcPr>
            <w:tcW w:w="1701" w:type="dxa"/>
            <w:vAlign w:val="center"/>
          </w:tcPr>
          <w:p w14:paraId="750232CA" w14:textId="01EC05BE" w:rsidR="00BA4D23" w:rsidRPr="00BA4D23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80" w:type="dxa"/>
            <w:vAlign w:val="center"/>
          </w:tcPr>
          <w:p w14:paraId="70636072" w14:textId="4CE352E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29498C" w:rsidRPr="004A4EEA" w14:paraId="0BDE65BE" w14:textId="77777777" w:rsidTr="00BA4D23">
        <w:tc>
          <w:tcPr>
            <w:tcW w:w="5022" w:type="dxa"/>
            <w:vAlign w:val="center"/>
          </w:tcPr>
          <w:p w14:paraId="65A66ABA" w14:textId="011BE601" w:rsidR="0029498C" w:rsidRPr="0029498C" w:rsidRDefault="0029498C" w:rsidP="0029498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Verlängerung Anbindeleitung VL/RL, je 10 m (Pauschale für 7 Tage)</w:t>
            </w:r>
          </w:p>
        </w:tc>
        <w:tc>
          <w:tcPr>
            <w:tcW w:w="1701" w:type="dxa"/>
            <w:vAlign w:val="center"/>
          </w:tcPr>
          <w:p w14:paraId="3C596020" w14:textId="6717280C" w:rsidR="0029498C" w:rsidRPr="0029498C" w:rsidRDefault="0029498C" w:rsidP="0029498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MHABL3007</w:t>
            </w:r>
          </w:p>
        </w:tc>
        <w:tc>
          <w:tcPr>
            <w:tcW w:w="1980" w:type="dxa"/>
            <w:vAlign w:val="center"/>
          </w:tcPr>
          <w:p w14:paraId="4BC97D72" w14:textId="160C05AC" w:rsidR="0029498C" w:rsidRPr="0029498C" w:rsidRDefault="0029498C" w:rsidP="0029498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9498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12,00</w:t>
            </w:r>
          </w:p>
        </w:tc>
      </w:tr>
      <w:tr w:rsidR="0029498C" w:rsidRPr="004A4EEA" w14:paraId="4ADC378B" w14:textId="77777777" w:rsidTr="00BA4D23">
        <w:tc>
          <w:tcPr>
            <w:tcW w:w="5022" w:type="dxa"/>
            <w:vAlign w:val="center"/>
          </w:tcPr>
          <w:p w14:paraId="3016D121" w14:textId="2396ABFC" w:rsidR="0029498C" w:rsidRPr="0029498C" w:rsidRDefault="0029498C" w:rsidP="0029498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Verlängerung Anbindeleitung VL/RL, je 10 m (Pauschale für 30 Tage)</w:t>
            </w:r>
          </w:p>
        </w:tc>
        <w:tc>
          <w:tcPr>
            <w:tcW w:w="1701" w:type="dxa"/>
            <w:vAlign w:val="center"/>
          </w:tcPr>
          <w:p w14:paraId="7661BA19" w14:textId="41132240" w:rsidR="0029498C" w:rsidRPr="0029498C" w:rsidRDefault="0029498C" w:rsidP="0029498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MHABL30030</w:t>
            </w:r>
          </w:p>
        </w:tc>
        <w:tc>
          <w:tcPr>
            <w:tcW w:w="1980" w:type="dxa"/>
            <w:vAlign w:val="center"/>
          </w:tcPr>
          <w:p w14:paraId="1E2D4C7E" w14:textId="5DD7DA9F" w:rsidR="0029498C" w:rsidRPr="0029498C" w:rsidRDefault="0029498C" w:rsidP="0029498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9498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48,00</w:t>
            </w:r>
          </w:p>
        </w:tc>
      </w:tr>
      <w:tr w:rsidR="00433D9C" w:rsidRPr="004A4EEA" w14:paraId="6CEF83F9" w14:textId="77777777" w:rsidTr="001A1627">
        <w:tc>
          <w:tcPr>
            <w:tcW w:w="8703" w:type="dxa"/>
            <w:gridSpan w:val="3"/>
            <w:vAlign w:val="center"/>
          </w:tcPr>
          <w:p w14:paraId="290982E6" w14:textId="77777777" w:rsidR="00433D9C" w:rsidRPr="00433D9C" w:rsidRDefault="00433D9C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433D9C" w:rsidRPr="004A4EEA" w14:paraId="2A1CAEA8" w14:textId="77777777" w:rsidTr="00BA4D23">
        <w:tc>
          <w:tcPr>
            <w:tcW w:w="5022" w:type="dxa"/>
            <w:vAlign w:val="center"/>
          </w:tcPr>
          <w:p w14:paraId="4C1DCBAA" w14:textId="7C22FCCD" w:rsidR="00433D9C" w:rsidRPr="00433D9C" w:rsidRDefault="00433D9C" w:rsidP="00433D9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Brennstoffversorgung</w:t>
            </w:r>
          </w:p>
        </w:tc>
        <w:tc>
          <w:tcPr>
            <w:tcW w:w="1701" w:type="dxa"/>
            <w:vAlign w:val="center"/>
          </w:tcPr>
          <w:p w14:paraId="2E1B088F" w14:textId="422F7E82" w:rsidR="00433D9C" w:rsidRPr="00433D9C" w:rsidRDefault="00433D9C" w:rsidP="00433D9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Artikel-Nr.</w:t>
            </w:r>
          </w:p>
        </w:tc>
        <w:tc>
          <w:tcPr>
            <w:tcW w:w="1980" w:type="dxa"/>
            <w:vAlign w:val="center"/>
          </w:tcPr>
          <w:p w14:paraId="5E241A95" w14:textId="33151141" w:rsidR="00433D9C" w:rsidRPr="00433D9C" w:rsidRDefault="00433D9C" w:rsidP="00433D9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EUR</w:t>
            </w:r>
          </w:p>
        </w:tc>
      </w:tr>
      <w:tr w:rsidR="00433D9C" w:rsidRPr="004A4EEA" w14:paraId="4FA739AE" w14:textId="77777777" w:rsidTr="00BA4D23">
        <w:tc>
          <w:tcPr>
            <w:tcW w:w="5022" w:type="dxa"/>
            <w:vAlign w:val="center"/>
          </w:tcPr>
          <w:p w14:paraId="5434947D" w14:textId="4C7A1221" w:rsidR="00433D9C" w:rsidRPr="00433D9C" w:rsidRDefault="00433D9C" w:rsidP="00433D9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Abrechnung pro Liter nach tats. Verbrauch (RG DL lfd. BV/Betrieb)</w:t>
            </w:r>
          </w:p>
        </w:tc>
        <w:tc>
          <w:tcPr>
            <w:tcW w:w="1701" w:type="dxa"/>
            <w:vAlign w:val="center"/>
          </w:tcPr>
          <w:p w14:paraId="00316744" w14:textId="021646FF" w:rsidR="00433D9C" w:rsidRPr="00433D9C" w:rsidRDefault="00433D9C" w:rsidP="00433D9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MHOILBV</w:t>
            </w:r>
          </w:p>
        </w:tc>
        <w:tc>
          <w:tcPr>
            <w:tcW w:w="1980" w:type="dxa"/>
            <w:vAlign w:val="center"/>
          </w:tcPr>
          <w:p w14:paraId="025345BE" w14:textId="2BAE514C" w:rsidR="00433D9C" w:rsidRPr="00433D9C" w:rsidRDefault="00433D9C" w:rsidP="00433D9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auf Anfrage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3FD249C" w14:textId="236F98D9" w:rsidR="00BA4D23" w:rsidRP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  <w:r w:rsidRPr="00BA4D23">
        <w:rPr>
          <w:rFonts w:ascii="Titillium Web" w:hAnsi="Titillium Web" w:cs="Titillium Web"/>
          <w:i/>
          <w:iCs/>
          <w:color w:val="000000"/>
          <w:sz w:val="20"/>
          <w:szCs w:val="20"/>
        </w:rPr>
        <w:t>* Hier wird nur der Wasserinhalt der Heizzentrale abgedeckt!</w:t>
      </w: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1"/>
  </w:num>
  <w:num w:numId="5">
    <w:abstractNumId w:val="25"/>
  </w:num>
  <w:num w:numId="6">
    <w:abstractNumId w:val="4"/>
  </w:num>
  <w:num w:numId="7">
    <w:abstractNumId w:val="16"/>
  </w:num>
  <w:num w:numId="8">
    <w:abstractNumId w:val="3"/>
  </w:num>
  <w:num w:numId="9">
    <w:abstractNumId w:val="15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23"/>
  </w:num>
  <w:num w:numId="15">
    <w:abstractNumId w:val="12"/>
  </w:num>
  <w:num w:numId="16">
    <w:abstractNumId w:val="18"/>
  </w:num>
  <w:num w:numId="17">
    <w:abstractNumId w:val="2"/>
  </w:num>
  <w:num w:numId="18">
    <w:abstractNumId w:val="21"/>
  </w:num>
  <w:num w:numId="19">
    <w:abstractNumId w:val="19"/>
  </w:num>
  <w:num w:numId="20">
    <w:abstractNumId w:val="20"/>
  </w:num>
  <w:num w:numId="21">
    <w:abstractNumId w:val="5"/>
  </w:num>
  <w:num w:numId="22">
    <w:abstractNumId w:val="10"/>
  </w:num>
  <w:num w:numId="23">
    <w:abstractNumId w:val="13"/>
  </w:num>
  <w:num w:numId="24">
    <w:abstractNumId w:val="14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29498C"/>
    <w:rsid w:val="003A6D82"/>
    <w:rsid w:val="003B3036"/>
    <w:rsid w:val="003C1AD4"/>
    <w:rsid w:val="00433D9C"/>
    <w:rsid w:val="004708F8"/>
    <w:rsid w:val="004A4EEA"/>
    <w:rsid w:val="005C47D0"/>
    <w:rsid w:val="007367D9"/>
    <w:rsid w:val="007612CA"/>
    <w:rsid w:val="00765E95"/>
    <w:rsid w:val="00864D2E"/>
    <w:rsid w:val="008C06DB"/>
    <w:rsid w:val="008E2135"/>
    <w:rsid w:val="00914D83"/>
    <w:rsid w:val="009D2A9B"/>
    <w:rsid w:val="00A41C82"/>
    <w:rsid w:val="00B05BDE"/>
    <w:rsid w:val="00B7246D"/>
    <w:rsid w:val="00BA4D23"/>
    <w:rsid w:val="00D26D1E"/>
    <w:rsid w:val="00E135ED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2021-02-26T07:51:00Z</dcterms:created>
  <dcterms:modified xsi:type="dcterms:W3CDTF">2021-02-26T07:51:00Z</dcterms:modified>
</cp:coreProperties>
</file>