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FA915" w14:textId="529E5759" w:rsidR="008C06DB" w:rsidRPr="007367D9" w:rsidRDefault="003A6D82" w:rsidP="009D2A9B">
      <w:pPr>
        <w:spacing w:line="240" w:lineRule="auto"/>
        <w:rPr>
          <w:rFonts w:ascii="Titillium Web" w:hAnsi="Titillium Web"/>
          <w:b/>
          <w:bCs/>
        </w:rPr>
      </w:pPr>
      <w:r>
        <w:rPr>
          <w:rFonts w:ascii="Titillium Web" w:hAnsi="Titillium Web"/>
          <w:b/>
          <w:bCs/>
        </w:rPr>
        <w:t>m</w:t>
      </w:r>
      <w:r w:rsidR="009D2A9B" w:rsidRPr="007367D9">
        <w:rPr>
          <w:rFonts w:ascii="Titillium Web" w:hAnsi="Titillium Web"/>
          <w:b/>
          <w:bCs/>
        </w:rPr>
        <w:t xml:space="preserve">obiheat </w:t>
      </w:r>
      <w:r w:rsidR="00B05BDE">
        <w:rPr>
          <w:rFonts w:ascii="Titillium Web" w:hAnsi="Titillium Web"/>
          <w:b/>
          <w:bCs/>
        </w:rPr>
        <w:t>MH</w:t>
      </w:r>
      <w:r w:rsidR="00196C33">
        <w:rPr>
          <w:rFonts w:ascii="Titillium Web" w:hAnsi="Titillium Web"/>
          <w:b/>
          <w:bCs/>
        </w:rPr>
        <w:t>70</w:t>
      </w:r>
      <w:r w:rsidR="0012033A">
        <w:rPr>
          <w:rFonts w:ascii="Titillium Web" w:hAnsi="Titillium Web"/>
          <w:b/>
          <w:bCs/>
        </w:rPr>
        <w:t>QF</w:t>
      </w:r>
      <w:r w:rsidR="007367D9">
        <w:rPr>
          <w:rFonts w:ascii="Titillium Web" w:hAnsi="Titillium Web"/>
          <w:b/>
          <w:bCs/>
        </w:rPr>
        <w:t xml:space="preserve"> | </w:t>
      </w:r>
      <w:r w:rsidR="00196C33">
        <w:rPr>
          <w:rFonts w:ascii="Titillium Web" w:hAnsi="Titillium Web"/>
          <w:b/>
          <w:bCs/>
        </w:rPr>
        <w:t>70</w:t>
      </w:r>
      <w:r w:rsidR="00B05BDE">
        <w:rPr>
          <w:rFonts w:ascii="Titillium Web" w:hAnsi="Titillium Web"/>
          <w:b/>
          <w:bCs/>
        </w:rPr>
        <w:t xml:space="preserve"> kW</w:t>
      </w:r>
      <w:r w:rsidR="0012033A">
        <w:rPr>
          <w:rFonts w:ascii="Titillium Web" w:hAnsi="Titillium Web"/>
          <w:b/>
          <w:bCs/>
        </w:rPr>
        <w:t xml:space="preserve"> – Der </w:t>
      </w:r>
      <w:proofErr w:type="spellStart"/>
      <w:r w:rsidR="0012033A">
        <w:rPr>
          <w:rFonts w:ascii="Titillium Web" w:hAnsi="Titillium Web"/>
          <w:b/>
          <w:bCs/>
        </w:rPr>
        <w:t>Easyheat</w:t>
      </w:r>
      <w:proofErr w:type="spellEnd"/>
      <w:r w:rsidR="0012033A">
        <w:rPr>
          <w:rFonts w:ascii="Titillium Web" w:hAnsi="Titillium Web"/>
          <w:b/>
          <w:bCs/>
        </w:rPr>
        <w:t xml:space="preserve"> 70</w:t>
      </w:r>
    </w:p>
    <w:p w14:paraId="4DEBE007" w14:textId="1C7A4A69" w:rsidR="008C06DB" w:rsidRDefault="008C06DB" w:rsidP="008C06DB">
      <w:pPr>
        <w:pStyle w:val="Fliestext-Eigenschaften"/>
        <w:rPr>
          <w:rFonts w:ascii="Titillium Web" w:hAnsi="Titillium Web" w:cs="Titillium Web"/>
          <w:sz w:val="20"/>
          <w:szCs w:val="20"/>
        </w:rPr>
      </w:pPr>
      <w:bookmarkStart w:id="0" w:name="_Hlk64897287"/>
      <w:r>
        <w:rPr>
          <w:rFonts w:ascii="Titillium Web" w:hAnsi="Titillium Web" w:cs="Titillium Web"/>
          <w:sz w:val="20"/>
          <w:szCs w:val="20"/>
        </w:rPr>
        <w:t>Eigenschaften</w:t>
      </w:r>
    </w:p>
    <w:bookmarkEnd w:id="0"/>
    <w:p w14:paraId="748712F7" w14:textId="4256D64E" w:rsidR="00864D2E" w:rsidRDefault="00864D2E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864D2E">
        <w:rPr>
          <w:rFonts w:ascii="Titillium Web" w:hAnsi="Titillium Web" w:cs="Titillium Web"/>
          <w:color w:val="000000"/>
          <w:sz w:val="20"/>
          <w:szCs w:val="20"/>
        </w:rPr>
        <w:t>Die mobile Heizzentrale MH70QF ist eine voll funktionsfähige mobile</w:t>
      </w:r>
      <w:r>
        <w:rPr>
          <w:rFonts w:ascii="Titillium Web" w:hAnsi="Titillium Web" w:cs="Titillium Web"/>
          <w:color w:val="000000"/>
          <w:sz w:val="20"/>
          <w:szCs w:val="20"/>
        </w:rPr>
        <w:t xml:space="preserve"> </w:t>
      </w:r>
      <w:r w:rsidRPr="00864D2E">
        <w:rPr>
          <w:rFonts w:ascii="Titillium Web" w:hAnsi="Titillium Web" w:cs="Titillium Web"/>
          <w:color w:val="000000"/>
          <w:sz w:val="20"/>
          <w:szCs w:val="20"/>
        </w:rPr>
        <w:t>Heizzentrale. Der MH70QF ist als Anhänger schnell an jedem Einsatzort. Als kompakte und leistungsstarke Einheit können die mobilen Wärmeerzeuger ortsunabhängig und zeitnah eingesetzt werden.</w:t>
      </w:r>
    </w:p>
    <w:p w14:paraId="6600B266" w14:textId="77777777" w:rsidR="00864D2E" w:rsidRPr="00864D2E" w:rsidRDefault="00864D2E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7CEF71FB" w14:textId="43C8E3F9" w:rsidR="00864D2E" w:rsidRPr="00864D2E" w:rsidRDefault="00864D2E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864D2E">
        <w:rPr>
          <w:rFonts w:ascii="Titillium Web" w:hAnsi="Titillium Web" w:cs="Titillium Web"/>
          <w:color w:val="000000"/>
          <w:sz w:val="20"/>
          <w:szCs w:val="20"/>
        </w:rPr>
        <w:t>Merkmale</w:t>
      </w:r>
    </w:p>
    <w:p w14:paraId="08F4ABE3" w14:textId="4460CF81" w:rsidR="00864D2E" w:rsidRPr="00864D2E" w:rsidRDefault="00864D2E" w:rsidP="00864D2E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864D2E">
        <w:rPr>
          <w:rFonts w:ascii="Titillium Web" w:hAnsi="Titillium Web" w:cs="Titillium Web"/>
          <w:color w:val="000000"/>
          <w:sz w:val="20"/>
          <w:szCs w:val="20"/>
        </w:rPr>
        <w:t>Spezial-Heizkessel für erhöhte Anforderungen</w:t>
      </w:r>
    </w:p>
    <w:p w14:paraId="2D72E720" w14:textId="02AA732C" w:rsidR="00864D2E" w:rsidRPr="00864D2E" w:rsidRDefault="00864D2E" w:rsidP="00864D2E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864D2E">
        <w:rPr>
          <w:rFonts w:ascii="Titillium Web" w:hAnsi="Titillium Web" w:cs="Titillium Web"/>
          <w:color w:val="000000"/>
          <w:sz w:val="20"/>
          <w:szCs w:val="20"/>
        </w:rPr>
        <w:t xml:space="preserve">Interne Öltankanlage 750 Liter </w:t>
      </w:r>
    </w:p>
    <w:p w14:paraId="2C19914A" w14:textId="2EB802D5" w:rsidR="00864D2E" w:rsidRPr="00864D2E" w:rsidRDefault="00864D2E" w:rsidP="00864D2E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60" w:lineRule="atLeast"/>
        <w:ind w:right="-141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864D2E">
        <w:rPr>
          <w:rFonts w:ascii="Titillium Web" w:hAnsi="Titillium Web" w:cs="Titillium Web"/>
          <w:color w:val="000000"/>
          <w:sz w:val="20"/>
          <w:szCs w:val="20"/>
        </w:rPr>
        <w:t>Pumpengruppe mit Mischer inkl. Regelung für Estrichaufheizprogramme / optional</w:t>
      </w:r>
      <w:r>
        <w:rPr>
          <w:rFonts w:ascii="Titillium Web" w:hAnsi="Titillium Web" w:cs="Titillium Web"/>
          <w:color w:val="000000"/>
          <w:sz w:val="20"/>
          <w:szCs w:val="20"/>
        </w:rPr>
        <w:t xml:space="preserve"> </w:t>
      </w:r>
      <w:r w:rsidRPr="00864D2E">
        <w:rPr>
          <w:rFonts w:ascii="Titillium Web" w:hAnsi="Titillium Web" w:cs="Titillium Web"/>
          <w:color w:val="000000"/>
          <w:sz w:val="20"/>
          <w:szCs w:val="20"/>
        </w:rPr>
        <w:t>witterungsgeführte Regelung</w:t>
      </w:r>
    </w:p>
    <w:p w14:paraId="6BE7957A" w14:textId="5C833593" w:rsidR="00864D2E" w:rsidRPr="00864D2E" w:rsidRDefault="00864D2E" w:rsidP="00864D2E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864D2E">
        <w:rPr>
          <w:rFonts w:ascii="Titillium Web" w:hAnsi="Titillium Web" w:cs="Titillium Web"/>
          <w:color w:val="000000"/>
          <w:sz w:val="20"/>
          <w:szCs w:val="20"/>
        </w:rPr>
        <w:t>Integrierter Abgasschalldämpfer</w:t>
      </w:r>
    </w:p>
    <w:p w14:paraId="2E5E621B" w14:textId="709EAD34" w:rsidR="00864D2E" w:rsidRPr="00864D2E" w:rsidRDefault="00864D2E" w:rsidP="00864D2E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864D2E">
        <w:rPr>
          <w:rFonts w:ascii="Titillium Web" w:hAnsi="Titillium Web" w:cs="Titillium Web"/>
          <w:color w:val="000000"/>
          <w:sz w:val="20"/>
          <w:szCs w:val="20"/>
        </w:rPr>
        <w:t>Edelstahl-Abgaskamin</w:t>
      </w:r>
    </w:p>
    <w:p w14:paraId="75E67827" w14:textId="24520EA2" w:rsidR="00864D2E" w:rsidRPr="00864D2E" w:rsidRDefault="00864D2E" w:rsidP="00864D2E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864D2E">
        <w:rPr>
          <w:rFonts w:ascii="Titillium Web" w:hAnsi="Titillium Web" w:cs="Titillium Web"/>
          <w:color w:val="000000"/>
          <w:sz w:val="20"/>
          <w:szCs w:val="20"/>
        </w:rPr>
        <w:t>Flexible Faltschläuche</w:t>
      </w:r>
    </w:p>
    <w:p w14:paraId="565E29CE" w14:textId="12CC37D8" w:rsidR="008C06DB" w:rsidRDefault="00864D2E" w:rsidP="00864D2E">
      <w:pPr>
        <w:pStyle w:val="Fliestext-Eigenschaften"/>
        <w:numPr>
          <w:ilvl w:val="0"/>
          <w:numId w:val="14"/>
        </w:numPr>
        <w:rPr>
          <w:rFonts w:ascii="Titillium Web" w:hAnsi="Titillium Web" w:cs="Titillium Web"/>
          <w:sz w:val="20"/>
          <w:szCs w:val="20"/>
        </w:rPr>
      </w:pPr>
      <w:r w:rsidRPr="00864D2E">
        <w:rPr>
          <w:rFonts w:ascii="Titillium Web" w:hAnsi="Titillium Web" w:cs="Titillium Web"/>
          <w:sz w:val="20"/>
          <w:szCs w:val="20"/>
        </w:rPr>
        <w:t>Sicherungstechnische Einrichtungen nach DIN EN 12828</w:t>
      </w:r>
      <w:r w:rsidR="008C06DB">
        <w:rPr>
          <w:rFonts w:ascii="Titillium Web" w:hAnsi="Titillium Web" w:cs="Titillium Web"/>
          <w:sz w:val="20"/>
          <w:szCs w:val="20"/>
        </w:rPr>
        <w:t>Mietkonditionen</w:t>
      </w:r>
    </w:p>
    <w:p w14:paraId="397DD266" w14:textId="53E9C82F" w:rsidR="004A4EEA" w:rsidRDefault="004A4EEA" w:rsidP="00864D2E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4A4EEA">
        <w:rPr>
          <w:rFonts w:ascii="Titillium Web" w:hAnsi="Titillium Web" w:cs="Titillium Web"/>
          <w:color w:val="000000"/>
          <w:sz w:val="20"/>
          <w:szCs w:val="20"/>
        </w:rPr>
        <w:t>Anlieferung und Abholung mit Spedition</w:t>
      </w:r>
    </w:p>
    <w:p w14:paraId="4AB19FF2" w14:textId="77777777" w:rsidR="00864D2E" w:rsidRDefault="00864D2E" w:rsidP="00864D2E">
      <w:pPr>
        <w:pStyle w:val="Listenabsatz"/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3C028656" w14:textId="0502B516" w:rsidR="00864D2E" w:rsidRPr="00864D2E" w:rsidRDefault="00864D2E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Mietkonditionen</w:t>
      </w:r>
    </w:p>
    <w:p w14:paraId="576BF608" w14:textId="77777777" w:rsidR="00864D2E" w:rsidRPr="00864D2E" w:rsidRDefault="00864D2E" w:rsidP="00864D2E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864D2E">
        <w:rPr>
          <w:rFonts w:ascii="Titillium Web" w:hAnsi="Titillium Web" w:cs="Titillium Web"/>
          <w:color w:val="000000"/>
          <w:sz w:val="20"/>
          <w:szCs w:val="20"/>
        </w:rPr>
        <w:t xml:space="preserve">Inkl. </w:t>
      </w:r>
      <w:proofErr w:type="spellStart"/>
      <w:r w:rsidRPr="00864D2E">
        <w:rPr>
          <w:rFonts w:ascii="Titillium Web" w:hAnsi="Titillium Web" w:cs="Titillium Web"/>
          <w:color w:val="000000"/>
          <w:sz w:val="20"/>
          <w:szCs w:val="20"/>
        </w:rPr>
        <w:t>Anbindeleitungen</w:t>
      </w:r>
      <w:proofErr w:type="spellEnd"/>
      <w:r w:rsidRPr="00864D2E">
        <w:rPr>
          <w:rFonts w:ascii="Titillium Web" w:hAnsi="Titillium Web" w:cs="Titillium Web"/>
          <w:color w:val="000000"/>
          <w:sz w:val="20"/>
          <w:szCs w:val="20"/>
        </w:rPr>
        <w:t xml:space="preserve"> (für je 20 m Vorlauf und Rücklauf)</w:t>
      </w:r>
    </w:p>
    <w:p w14:paraId="63CA82DF" w14:textId="438994E1" w:rsidR="00864D2E" w:rsidRPr="00864D2E" w:rsidRDefault="00864D2E" w:rsidP="00864D2E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864D2E">
        <w:rPr>
          <w:rFonts w:ascii="Titillium Web" w:hAnsi="Titillium Web" w:cs="Titillium Web"/>
          <w:color w:val="000000"/>
          <w:sz w:val="20"/>
          <w:szCs w:val="20"/>
        </w:rPr>
        <w:t>Inkl. Stromkabel 20 m</w:t>
      </w:r>
    </w:p>
    <w:p w14:paraId="6B0B896A" w14:textId="7208333F" w:rsidR="00864D2E" w:rsidRPr="00864D2E" w:rsidRDefault="00864D2E" w:rsidP="00864D2E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864D2E">
        <w:rPr>
          <w:rFonts w:ascii="Titillium Web" w:hAnsi="Titillium Web" w:cs="Titillium Web"/>
          <w:color w:val="000000"/>
          <w:sz w:val="20"/>
          <w:szCs w:val="20"/>
        </w:rPr>
        <w:t>Lieferzeit: kurzfristig, nach Absprache</w:t>
      </w:r>
    </w:p>
    <w:p w14:paraId="34A390A2" w14:textId="3158E0EC" w:rsidR="00864D2E" w:rsidRPr="00864D2E" w:rsidRDefault="00864D2E" w:rsidP="00864D2E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864D2E">
        <w:rPr>
          <w:rFonts w:ascii="Titillium Web" w:hAnsi="Titillium Web" w:cs="Titillium Web"/>
          <w:color w:val="000000"/>
          <w:sz w:val="20"/>
          <w:szCs w:val="20"/>
        </w:rPr>
        <w:t>Taggenaue Abrechnung nach Grundmiete</w:t>
      </w:r>
    </w:p>
    <w:p w14:paraId="3886D4E4" w14:textId="05A506E2" w:rsidR="004A4EEA" w:rsidRPr="00864D2E" w:rsidRDefault="00864D2E" w:rsidP="00864D2E">
      <w:pPr>
        <w:pStyle w:val="Listenabsatz"/>
        <w:numPr>
          <w:ilvl w:val="0"/>
          <w:numId w:val="17"/>
        </w:numPr>
        <w:spacing w:line="240" w:lineRule="auto"/>
        <w:rPr>
          <w:rFonts w:ascii="Titillium Web" w:hAnsi="Titillium Web"/>
          <w:sz w:val="20"/>
          <w:szCs w:val="20"/>
        </w:rPr>
      </w:pPr>
      <w:r w:rsidRPr="00864D2E">
        <w:rPr>
          <w:rFonts w:ascii="Titillium Web" w:hAnsi="Titillium Web" w:cs="Titillium Web"/>
          <w:color w:val="000000"/>
          <w:sz w:val="20"/>
          <w:szCs w:val="20"/>
        </w:rPr>
        <w:t xml:space="preserve">Anliefertag und Abmeldetag werden als </w:t>
      </w:r>
      <w:proofErr w:type="spellStart"/>
      <w:r w:rsidRPr="00864D2E">
        <w:rPr>
          <w:rFonts w:ascii="Titillium Web" w:hAnsi="Titillium Web" w:cs="Titillium Web"/>
          <w:color w:val="000000"/>
          <w:sz w:val="20"/>
          <w:szCs w:val="20"/>
        </w:rPr>
        <w:t>Miettag</w:t>
      </w:r>
      <w:proofErr w:type="spellEnd"/>
      <w:r w:rsidRPr="00864D2E">
        <w:rPr>
          <w:rFonts w:ascii="Titillium Web" w:hAnsi="Titillium Web" w:cs="Titillium Web"/>
          <w:color w:val="000000"/>
          <w:sz w:val="20"/>
          <w:szCs w:val="20"/>
        </w:rPr>
        <w:t xml:space="preserve"> berechnet!</w:t>
      </w:r>
    </w:p>
    <w:p w14:paraId="2705D263" w14:textId="77777777" w:rsidR="00864D2E" w:rsidRPr="00864D2E" w:rsidRDefault="00864D2E" w:rsidP="00864D2E">
      <w:pPr>
        <w:pStyle w:val="Listenabsatz"/>
        <w:spacing w:line="240" w:lineRule="auto"/>
        <w:rPr>
          <w:rFonts w:ascii="Titillium Web" w:hAnsi="Titillium Web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  <w:gridCol w:w="1701"/>
        <w:gridCol w:w="1980"/>
      </w:tblGrid>
      <w:tr w:rsidR="00196C33" w:rsidRPr="004A4EEA" w14:paraId="165D7BB8" w14:textId="77777777" w:rsidTr="00BA4D23">
        <w:tc>
          <w:tcPr>
            <w:tcW w:w="5022" w:type="dxa"/>
            <w:vAlign w:val="center"/>
          </w:tcPr>
          <w:p w14:paraId="403F21E4" w14:textId="29C43C63" w:rsidR="00196C33" w:rsidRPr="004A4EEA" w:rsidRDefault="00196C33" w:rsidP="00196C33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Heizmobil/Heizcontainer bis 70 kW mit </w:t>
            </w:r>
            <w:r w:rsidR="00864D2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7</w:t>
            </w:r>
            <w:r w:rsidR="00864D2E">
              <w:rPr>
                <w:rStyle w:val="Taballe-Text"/>
              </w:rPr>
              <w:t>5</w:t>
            </w:r>
            <w:r w:rsidRPr="004A4EE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0-Liter-Heizöltank</w:t>
            </w:r>
          </w:p>
        </w:tc>
        <w:tc>
          <w:tcPr>
            <w:tcW w:w="3681" w:type="dxa"/>
            <w:gridSpan w:val="2"/>
            <w:vAlign w:val="center"/>
          </w:tcPr>
          <w:p w14:paraId="21E62D1D" w14:textId="2FCDD945" w:rsidR="00196C33" w:rsidRPr="004A4EEA" w:rsidRDefault="00196C33" w:rsidP="00196C33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RG DL Standard bis 120 kW</w:t>
            </w:r>
          </w:p>
        </w:tc>
      </w:tr>
      <w:tr w:rsidR="008C06DB" w:rsidRPr="004A4EEA" w14:paraId="7EBC35C6" w14:textId="77777777" w:rsidTr="00BA4D23">
        <w:tc>
          <w:tcPr>
            <w:tcW w:w="5022" w:type="dxa"/>
          </w:tcPr>
          <w:p w14:paraId="35C298E8" w14:textId="56668C7E" w:rsidR="008C06DB" w:rsidRPr="004A4EEA" w:rsidRDefault="00017326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Mietkonditionen</w:t>
            </w:r>
          </w:p>
        </w:tc>
        <w:tc>
          <w:tcPr>
            <w:tcW w:w="1701" w:type="dxa"/>
          </w:tcPr>
          <w:p w14:paraId="0570D66D" w14:textId="216B7C5F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54DEB46A" w14:textId="00EBE54B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4A4EEA" w:rsidRPr="004A4EEA" w14:paraId="641F27A3" w14:textId="3E15F382" w:rsidTr="00BA4D23">
        <w:tc>
          <w:tcPr>
            <w:tcW w:w="5022" w:type="dxa"/>
            <w:vAlign w:val="center"/>
          </w:tcPr>
          <w:p w14:paraId="3055BC22" w14:textId="54449337" w:rsidR="004A4EEA" w:rsidRPr="004A4EEA" w:rsidRDefault="004A4EEA" w:rsidP="004A4EEA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4A4EE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Wochengrundmiete (7 Tage), inklusive Transport</w:t>
            </w:r>
          </w:p>
        </w:tc>
        <w:tc>
          <w:tcPr>
            <w:tcW w:w="1701" w:type="dxa"/>
            <w:vAlign w:val="center"/>
          </w:tcPr>
          <w:p w14:paraId="2AF9082C" w14:textId="0975FD49" w:rsidR="004A4EEA" w:rsidRPr="004A4EEA" w:rsidRDefault="004A4EEA" w:rsidP="004A4EEA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4A4EEA">
              <w:rPr>
                <w:rFonts w:ascii="Titillium Web" w:hAnsi="Titillium Web" w:cs="Titillium Web"/>
                <w:sz w:val="20"/>
                <w:szCs w:val="20"/>
              </w:rPr>
              <w:t>MH70V</w:t>
            </w:r>
          </w:p>
        </w:tc>
        <w:tc>
          <w:tcPr>
            <w:tcW w:w="1980" w:type="dxa"/>
            <w:vAlign w:val="center"/>
          </w:tcPr>
          <w:p w14:paraId="6B2BA5CE" w14:textId="1265A86B" w:rsidR="004A4EEA" w:rsidRPr="004A4EEA" w:rsidRDefault="004A4EEA" w:rsidP="004A4EE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4A4EEA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1.050,00</w:t>
            </w:r>
          </w:p>
        </w:tc>
      </w:tr>
      <w:tr w:rsidR="004A4EEA" w:rsidRPr="004A4EEA" w14:paraId="360B0D42" w14:textId="0484B90A" w:rsidTr="00BA4D23">
        <w:tc>
          <w:tcPr>
            <w:tcW w:w="5022" w:type="dxa"/>
            <w:vAlign w:val="center"/>
          </w:tcPr>
          <w:p w14:paraId="1A407667" w14:textId="201AAA0F" w:rsidR="004A4EEA" w:rsidRPr="004A4EEA" w:rsidRDefault="004A4EEA" w:rsidP="004A4EE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4A4EE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8. Tag)</w:t>
            </w:r>
          </w:p>
        </w:tc>
        <w:tc>
          <w:tcPr>
            <w:tcW w:w="1701" w:type="dxa"/>
            <w:vAlign w:val="center"/>
          </w:tcPr>
          <w:p w14:paraId="607B12F9" w14:textId="62E1AF6C" w:rsidR="004A4EEA" w:rsidRPr="004A4EEA" w:rsidRDefault="004A4EEA" w:rsidP="004A4EE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4A4EE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MH70VT</w:t>
            </w:r>
          </w:p>
        </w:tc>
        <w:tc>
          <w:tcPr>
            <w:tcW w:w="1980" w:type="dxa"/>
            <w:vAlign w:val="center"/>
          </w:tcPr>
          <w:p w14:paraId="72BB6901" w14:textId="60FAC5FE" w:rsidR="004A4EEA" w:rsidRPr="004A4EEA" w:rsidRDefault="004A4EEA" w:rsidP="004A4EE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4A4EEA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64,00</w:t>
            </w:r>
          </w:p>
        </w:tc>
      </w:tr>
      <w:tr w:rsidR="004A4EEA" w:rsidRPr="004A4EEA" w14:paraId="2BF1FAF3" w14:textId="77777777" w:rsidTr="00BA4D23">
        <w:tc>
          <w:tcPr>
            <w:tcW w:w="5022" w:type="dxa"/>
            <w:vAlign w:val="center"/>
          </w:tcPr>
          <w:p w14:paraId="0951DB22" w14:textId="6D5E68ED" w:rsidR="004A4EEA" w:rsidRPr="004A4EEA" w:rsidRDefault="004A4EEA" w:rsidP="004A4EE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4A4EE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Monatsgrundmiete (30 Tage), inklusive Transport</w:t>
            </w:r>
          </w:p>
        </w:tc>
        <w:tc>
          <w:tcPr>
            <w:tcW w:w="1701" w:type="dxa"/>
            <w:vAlign w:val="center"/>
          </w:tcPr>
          <w:p w14:paraId="2450543C" w14:textId="59BC31C5" w:rsidR="004A4EEA" w:rsidRPr="004A4EEA" w:rsidRDefault="004A4EEA" w:rsidP="004A4EE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4A4EE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MH70VM</w:t>
            </w:r>
          </w:p>
        </w:tc>
        <w:tc>
          <w:tcPr>
            <w:tcW w:w="1980" w:type="dxa"/>
            <w:vAlign w:val="center"/>
          </w:tcPr>
          <w:p w14:paraId="38BC5412" w14:textId="0F8A9929" w:rsidR="004A4EEA" w:rsidRPr="004A4EEA" w:rsidRDefault="004A4EEA" w:rsidP="004A4EE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4A4EEA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2.084,00</w:t>
            </w:r>
          </w:p>
        </w:tc>
      </w:tr>
      <w:tr w:rsidR="004A4EEA" w:rsidRPr="004A4EEA" w14:paraId="0FC36BEE" w14:textId="77777777" w:rsidTr="00BA4D23">
        <w:tc>
          <w:tcPr>
            <w:tcW w:w="5022" w:type="dxa"/>
            <w:vAlign w:val="center"/>
          </w:tcPr>
          <w:p w14:paraId="527CF94D" w14:textId="177E015C" w:rsidR="004A4EEA" w:rsidRPr="004A4EEA" w:rsidRDefault="004A4EEA" w:rsidP="004A4EE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4A4EE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31. Tag)</w:t>
            </w:r>
          </w:p>
        </w:tc>
        <w:tc>
          <w:tcPr>
            <w:tcW w:w="1701" w:type="dxa"/>
            <w:vAlign w:val="center"/>
          </w:tcPr>
          <w:p w14:paraId="1F74E554" w14:textId="19440558" w:rsidR="004A4EEA" w:rsidRPr="004A4EEA" w:rsidRDefault="004A4EEA" w:rsidP="004A4EE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4A4EE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MH70VT31</w:t>
            </w:r>
          </w:p>
        </w:tc>
        <w:tc>
          <w:tcPr>
            <w:tcW w:w="1980" w:type="dxa"/>
            <w:vAlign w:val="center"/>
          </w:tcPr>
          <w:p w14:paraId="628E7FA3" w14:textId="53228559" w:rsidR="004A4EEA" w:rsidRPr="004A4EEA" w:rsidRDefault="004A4EEA" w:rsidP="004A4EE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4A4EEA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59,00</w:t>
            </w:r>
          </w:p>
        </w:tc>
      </w:tr>
      <w:tr w:rsidR="004A4EEA" w:rsidRPr="004A4EEA" w14:paraId="7ADADC2C" w14:textId="77777777" w:rsidTr="00BA4D23">
        <w:tc>
          <w:tcPr>
            <w:tcW w:w="5022" w:type="dxa"/>
            <w:vAlign w:val="center"/>
          </w:tcPr>
          <w:p w14:paraId="7BFFD8DE" w14:textId="12C9782E" w:rsidR="004A4EEA" w:rsidRPr="004A4EEA" w:rsidRDefault="004A4EEA" w:rsidP="004A4EE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4A4EE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121. Tag)</w:t>
            </w:r>
          </w:p>
        </w:tc>
        <w:tc>
          <w:tcPr>
            <w:tcW w:w="1701" w:type="dxa"/>
            <w:vAlign w:val="center"/>
          </w:tcPr>
          <w:p w14:paraId="212FB489" w14:textId="56143714" w:rsidR="004A4EEA" w:rsidRPr="004A4EEA" w:rsidRDefault="004A4EEA" w:rsidP="004A4EE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4A4EE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MH70VT121</w:t>
            </w:r>
          </w:p>
        </w:tc>
        <w:tc>
          <w:tcPr>
            <w:tcW w:w="1980" w:type="dxa"/>
            <w:vAlign w:val="center"/>
          </w:tcPr>
          <w:p w14:paraId="3E2DB739" w14:textId="6E627DCC" w:rsidR="004A4EEA" w:rsidRPr="004A4EEA" w:rsidRDefault="004A4EEA" w:rsidP="004A4EE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4A4EEA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54,00</w:t>
            </w:r>
          </w:p>
        </w:tc>
      </w:tr>
      <w:tr w:rsidR="004A4EEA" w:rsidRPr="004A4EEA" w14:paraId="2FCBFF26" w14:textId="77777777" w:rsidTr="00BA4D23">
        <w:tc>
          <w:tcPr>
            <w:tcW w:w="5022" w:type="dxa"/>
            <w:vAlign w:val="center"/>
          </w:tcPr>
          <w:p w14:paraId="1876B249" w14:textId="585FE080" w:rsidR="004A4EEA" w:rsidRPr="004A4EEA" w:rsidRDefault="004A4EEA" w:rsidP="004A4EE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4A4EE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181. Tag)</w:t>
            </w:r>
          </w:p>
        </w:tc>
        <w:tc>
          <w:tcPr>
            <w:tcW w:w="1701" w:type="dxa"/>
            <w:vAlign w:val="center"/>
          </w:tcPr>
          <w:p w14:paraId="1CA2471B" w14:textId="71347F31" w:rsidR="004A4EEA" w:rsidRPr="004A4EEA" w:rsidRDefault="004A4EEA" w:rsidP="004A4EE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4A4EE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MH70VT181</w:t>
            </w:r>
          </w:p>
        </w:tc>
        <w:tc>
          <w:tcPr>
            <w:tcW w:w="1980" w:type="dxa"/>
            <w:vAlign w:val="center"/>
          </w:tcPr>
          <w:p w14:paraId="188E8D36" w14:textId="5380EC7A" w:rsidR="004A4EEA" w:rsidRPr="004A4EEA" w:rsidRDefault="004A4EEA" w:rsidP="004A4EE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4A4EEA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49,00</w:t>
            </w:r>
          </w:p>
        </w:tc>
      </w:tr>
      <w:tr w:rsidR="007367D9" w:rsidRPr="004A4EEA" w14:paraId="25B06664" w14:textId="77777777" w:rsidTr="00641C7A">
        <w:tc>
          <w:tcPr>
            <w:tcW w:w="8703" w:type="dxa"/>
            <w:gridSpan w:val="3"/>
          </w:tcPr>
          <w:p w14:paraId="388A1E12" w14:textId="78CCC9B6" w:rsidR="007367D9" w:rsidRPr="00BA4D23" w:rsidRDefault="007367D9" w:rsidP="0054389C">
            <w:pPr>
              <w:rPr>
                <w:rFonts w:ascii="Titillium Web" w:hAnsi="Titillium Web"/>
                <w:sz w:val="10"/>
                <w:szCs w:val="10"/>
              </w:rPr>
            </w:pPr>
          </w:p>
        </w:tc>
      </w:tr>
      <w:tr w:rsidR="004A4EEA" w:rsidRPr="004A4EEA" w14:paraId="62FFB92A" w14:textId="77777777" w:rsidTr="00BA4D23">
        <w:tc>
          <w:tcPr>
            <w:tcW w:w="5022" w:type="dxa"/>
            <w:vAlign w:val="center"/>
          </w:tcPr>
          <w:p w14:paraId="012CC988" w14:textId="796E9F3C" w:rsidR="004A4EEA" w:rsidRPr="004A4EEA" w:rsidRDefault="004A4EEA" w:rsidP="004A4EEA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Anlieferung und IBN durch mobiheat (OPTIONAL)</w:t>
            </w:r>
          </w:p>
        </w:tc>
        <w:tc>
          <w:tcPr>
            <w:tcW w:w="1701" w:type="dxa"/>
            <w:vAlign w:val="center"/>
          </w:tcPr>
          <w:p w14:paraId="2E3C1F21" w14:textId="5AAB46C8" w:rsidR="004A4EEA" w:rsidRPr="004A4EEA" w:rsidRDefault="004A4EEA" w:rsidP="004A4EEA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Artikel-Nr.</w:t>
            </w:r>
          </w:p>
        </w:tc>
        <w:tc>
          <w:tcPr>
            <w:tcW w:w="1980" w:type="dxa"/>
            <w:vAlign w:val="center"/>
          </w:tcPr>
          <w:p w14:paraId="5382FBB9" w14:textId="572418C4" w:rsidR="004A4EEA" w:rsidRPr="004A4EEA" w:rsidRDefault="004A4EEA" w:rsidP="004A4EEA">
            <w:pPr>
              <w:rPr>
                <w:rFonts w:ascii="Titillium Web" w:hAnsi="Titillium Web"/>
                <w:b/>
                <w:bCs/>
                <w:sz w:val="20"/>
                <w:szCs w:val="20"/>
              </w:rPr>
            </w:pPr>
            <w:r w:rsidRPr="004A4EEA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Preis n</w:t>
            </w:r>
            <w:r w:rsidRPr="004A4EEA">
              <w:rPr>
                <w:rStyle w:val="Tabelle-Hervorhebungschwarz"/>
                <w:rFonts w:ascii="Titillium Web" w:hAnsi="Titillium Web"/>
                <w:b w:val="0"/>
                <w:bCs w:val="0"/>
                <w:sz w:val="20"/>
                <w:szCs w:val="20"/>
              </w:rPr>
              <w:t xml:space="preserve">etto </w:t>
            </w:r>
            <w:r w:rsidRPr="004A4EEA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EUR</w:t>
            </w:r>
          </w:p>
        </w:tc>
      </w:tr>
      <w:tr w:rsidR="004A4EEA" w:rsidRPr="004A4EEA" w14:paraId="46C5DD63" w14:textId="77777777" w:rsidTr="00BA4D23">
        <w:tc>
          <w:tcPr>
            <w:tcW w:w="5022" w:type="dxa"/>
            <w:vAlign w:val="center"/>
          </w:tcPr>
          <w:p w14:paraId="5A443030" w14:textId="6C8646C4" w:rsidR="004A4EEA" w:rsidRPr="004A4EEA" w:rsidRDefault="004A4EEA" w:rsidP="004A4EEA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Anschluss und Inbetriebnahme (IBN) mobiheat</w:t>
            </w:r>
          </w:p>
        </w:tc>
        <w:tc>
          <w:tcPr>
            <w:tcW w:w="1701" w:type="dxa"/>
            <w:vAlign w:val="center"/>
          </w:tcPr>
          <w:p w14:paraId="04F97AC2" w14:textId="0D7FD053" w:rsidR="004A4EEA" w:rsidRPr="004A4EEA" w:rsidRDefault="004A4EEA" w:rsidP="004A4EEA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MHIBN100</w:t>
            </w:r>
          </w:p>
        </w:tc>
        <w:tc>
          <w:tcPr>
            <w:tcW w:w="1980" w:type="dxa"/>
            <w:vAlign w:val="center"/>
          </w:tcPr>
          <w:p w14:paraId="71E7055E" w14:textId="7B67C263" w:rsidR="004A4EEA" w:rsidRPr="004A4EEA" w:rsidRDefault="004A4EEA" w:rsidP="004A4EEA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265,00</w:t>
            </w:r>
          </w:p>
        </w:tc>
      </w:tr>
      <w:tr w:rsidR="004A4EEA" w:rsidRPr="004A4EEA" w14:paraId="4AAB1C82" w14:textId="77777777" w:rsidTr="00BA4D23">
        <w:tc>
          <w:tcPr>
            <w:tcW w:w="5022" w:type="dxa"/>
            <w:vAlign w:val="center"/>
          </w:tcPr>
          <w:p w14:paraId="4BCC0FA9" w14:textId="0A4F1069" w:rsidR="004A4EEA" w:rsidRPr="004A4EEA" w:rsidRDefault="004A4EEA" w:rsidP="004A4EEA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Vollentsalzung/Kesselschutz nach VDI2035 (IBN) mobiheat (RG DL lfd. BV/</w:t>
            </w:r>
            <w:proofErr w:type="gramStart"/>
            <w:r w:rsidRPr="004A4EE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Betrieb)*</w:t>
            </w:r>
            <w:proofErr w:type="gramEnd"/>
          </w:p>
        </w:tc>
        <w:tc>
          <w:tcPr>
            <w:tcW w:w="1701" w:type="dxa"/>
            <w:vAlign w:val="center"/>
          </w:tcPr>
          <w:p w14:paraId="6E819D3C" w14:textId="16353548" w:rsidR="004A4EEA" w:rsidRPr="004A4EEA" w:rsidRDefault="004A4EEA" w:rsidP="004A4EEA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MHVE300</w:t>
            </w:r>
          </w:p>
        </w:tc>
        <w:tc>
          <w:tcPr>
            <w:tcW w:w="1980" w:type="dxa"/>
            <w:vAlign w:val="center"/>
          </w:tcPr>
          <w:p w14:paraId="7D79F4A3" w14:textId="1249DA49" w:rsidR="004A4EEA" w:rsidRPr="004A4EEA" w:rsidRDefault="004A4EEA" w:rsidP="004A4EEA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98,00</w:t>
            </w:r>
          </w:p>
        </w:tc>
      </w:tr>
      <w:tr w:rsidR="004A4EEA" w:rsidRPr="004A4EEA" w14:paraId="7CFD58F5" w14:textId="77777777" w:rsidTr="00BA4D23">
        <w:tc>
          <w:tcPr>
            <w:tcW w:w="5022" w:type="dxa"/>
            <w:vAlign w:val="center"/>
          </w:tcPr>
          <w:p w14:paraId="2D2866DE" w14:textId="3647CECE" w:rsidR="004A4EEA" w:rsidRPr="004A4EEA" w:rsidRDefault="004A4EEA" w:rsidP="004A4EEA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Heizölmenge für IBN (ca. 100 Liter), pro </w:t>
            </w:r>
            <w:proofErr w:type="spellStart"/>
            <w:r w:rsidRPr="004A4EE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Ltr</w:t>
            </w:r>
            <w:proofErr w:type="spellEnd"/>
            <w:r w:rsidRPr="004A4EE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. (RG DL Brennstoff)</w:t>
            </w:r>
          </w:p>
        </w:tc>
        <w:tc>
          <w:tcPr>
            <w:tcW w:w="1701" w:type="dxa"/>
            <w:vAlign w:val="center"/>
          </w:tcPr>
          <w:p w14:paraId="01FF2E97" w14:textId="7BD575B8" w:rsidR="004A4EEA" w:rsidRPr="004A4EEA" w:rsidRDefault="004A4EEA" w:rsidP="004A4EEA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MHOIL100  </w:t>
            </w:r>
          </w:p>
        </w:tc>
        <w:tc>
          <w:tcPr>
            <w:tcW w:w="1980" w:type="dxa"/>
            <w:vAlign w:val="center"/>
          </w:tcPr>
          <w:p w14:paraId="35AB0576" w14:textId="47121F96" w:rsidR="004A4EEA" w:rsidRPr="004A4EEA" w:rsidRDefault="004A4EEA" w:rsidP="004A4EEA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2,00 </w:t>
            </w:r>
          </w:p>
        </w:tc>
      </w:tr>
      <w:tr w:rsidR="004A4EEA" w:rsidRPr="004A4EEA" w14:paraId="63A53594" w14:textId="77777777" w:rsidTr="00BA4D23">
        <w:tc>
          <w:tcPr>
            <w:tcW w:w="5022" w:type="dxa"/>
            <w:vAlign w:val="center"/>
          </w:tcPr>
          <w:p w14:paraId="3DE286EB" w14:textId="73680AE0" w:rsidR="004A4EEA" w:rsidRPr="00BA4D23" w:rsidRDefault="004A4EEA" w:rsidP="00BA4D23">
            <w:pPr>
              <w:pStyle w:val="EinfAbs"/>
              <w:rPr>
                <w:rFonts w:ascii="Titillium Web" w:hAnsi="Titillium Web"/>
                <w:sz w:val="20"/>
                <w:szCs w:val="20"/>
              </w:rPr>
            </w:pPr>
            <w:r w:rsidRPr="00BA4D2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Abrechnung pro Liter nach tats. Verbrauch (RG DL lfd. BV/Betrieb</w:t>
            </w:r>
          </w:p>
        </w:tc>
        <w:tc>
          <w:tcPr>
            <w:tcW w:w="1701" w:type="dxa"/>
            <w:vAlign w:val="center"/>
          </w:tcPr>
          <w:p w14:paraId="365EBE77" w14:textId="0325B955" w:rsidR="004A4EEA" w:rsidRPr="004A4EEA" w:rsidRDefault="004A4EEA" w:rsidP="004A4EEA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MHOILBV</w:t>
            </w:r>
          </w:p>
        </w:tc>
        <w:tc>
          <w:tcPr>
            <w:tcW w:w="1980" w:type="dxa"/>
            <w:vAlign w:val="center"/>
          </w:tcPr>
          <w:p w14:paraId="6BBD990B" w14:textId="5943A8F3" w:rsidR="004A4EEA" w:rsidRPr="004A4EEA" w:rsidRDefault="004A4EEA" w:rsidP="004A4EEA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Auf Anfrage</w:t>
            </w:r>
          </w:p>
        </w:tc>
      </w:tr>
      <w:tr w:rsidR="00BA4D23" w:rsidRPr="004A4EEA" w14:paraId="425D3EAE" w14:textId="77777777" w:rsidTr="005D392F">
        <w:tc>
          <w:tcPr>
            <w:tcW w:w="5022" w:type="dxa"/>
            <w:vAlign w:val="center"/>
          </w:tcPr>
          <w:p w14:paraId="4F7A70D1" w14:textId="6DD80D6C" w:rsidR="00BA4D23" w:rsidRPr="00BA4D23" w:rsidRDefault="00BA4D23" w:rsidP="00BA4D23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lastRenderedPageBreak/>
              <w:t>Zubehör</w:t>
            </w:r>
          </w:p>
        </w:tc>
        <w:tc>
          <w:tcPr>
            <w:tcW w:w="3681" w:type="dxa"/>
            <w:gridSpan w:val="2"/>
            <w:vAlign w:val="center"/>
          </w:tcPr>
          <w:p w14:paraId="6278763F" w14:textId="00BB5775" w:rsidR="00BA4D23" w:rsidRPr="004A4EEA" w:rsidRDefault="00BA4D23" w:rsidP="00BA4D23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RG DL Zubehör</w:t>
            </w:r>
          </w:p>
        </w:tc>
      </w:tr>
      <w:tr w:rsidR="00BA4D23" w:rsidRPr="004A4EEA" w14:paraId="02FA563A" w14:textId="77777777" w:rsidTr="00B45FB2">
        <w:tc>
          <w:tcPr>
            <w:tcW w:w="8703" w:type="dxa"/>
            <w:gridSpan w:val="3"/>
            <w:vAlign w:val="center"/>
          </w:tcPr>
          <w:p w14:paraId="08F03A54" w14:textId="72774AD3" w:rsidR="00BA4D23" w:rsidRPr="00BA4D23" w:rsidRDefault="00BA4D23" w:rsidP="004A4EEA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10"/>
                <w:szCs w:val="10"/>
              </w:rPr>
            </w:pPr>
          </w:p>
        </w:tc>
      </w:tr>
      <w:tr w:rsidR="00BA4D23" w:rsidRPr="004A4EEA" w14:paraId="2F77F95D" w14:textId="77777777" w:rsidTr="00BA4D23">
        <w:tc>
          <w:tcPr>
            <w:tcW w:w="5022" w:type="dxa"/>
            <w:vAlign w:val="center"/>
          </w:tcPr>
          <w:p w14:paraId="69D03EB2" w14:textId="5B9BD224" w:rsidR="00BA4D23" w:rsidRPr="00BA4D23" w:rsidRDefault="00BA4D23" w:rsidP="00BA4D23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proofErr w:type="spellStart"/>
            <w:r w:rsidRPr="00BA4D2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</w:t>
            </w:r>
            <w:r w:rsidRPr="00BA4D23">
              <w:rPr>
                <w:rStyle w:val="Taballe-Text"/>
                <w:rFonts w:ascii="Titillium Web" w:hAnsi="Titillium Web"/>
                <w:sz w:val="20"/>
                <w:szCs w:val="20"/>
              </w:rPr>
              <w:t>ietkondtitionen</w:t>
            </w:r>
            <w:proofErr w:type="spellEnd"/>
          </w:p>
        </w:tc>
        <w:tc>
          <w:tcPr>
            <w:tcW w:w="1701" w:type="dxa"/>
            <w:vAlign w:val="center"/>
          </w:tcPr>
          <w:p w14:paraId="750232CA" w14:textId="01EC05BE" w:rsidR="00BA4D23" w:rsidRPr="00BA4D23" w:rsidRDefault="00BA4D23" w:rsidP="00BA4D23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BA4D2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</w:t>
            </w:r>
            <w:r w:rsidRPr="00BA4D23">
              <w:rPr>
                <w:rStyle w:val="Taballe-Text"/>
                <w:rFonts w:ascii="Titillium Web" w:hAnsi="Titillium Web"/>
                <w:sz w:val="20"/>
                <w:szCs w:val="20"/>
              </w:rPr>
              <w:t>rtikel-Nr.</w:t>
            </w:r>
          </w:p>
        </w:tc>
        <w:tc>
          <w:tcPr>
            <w:tcW w:w="1980" w:type="dxa"/>
            <w:vAlign w:val="center"/>
          </w:tcPr>
          <w:p w14:paraId="70636072" w14:textId="4CE352E7" w:rsidR="00BA4D23" w:rsidRPr="00BA4D23" w:rsidRDefault="00BA4D23" w:rsidP="00BA4D23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BA4D23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Preis netto EUR</w:t>
            </w:r>
          </w:p>
        </w:tc>
      </w:tr>
      <w:tr w:rsidR="00BA4D23" w:rsidRPr="004A4EEA" w14:paraId="0BDE65BE" w14:textId="77777777" w:rsidTr="00BA4D23">
        <w:tc>
          <w:tcPr>
            <w:tcW w:w="5022" w:type="dxa"/>
            <w:vAlign w:val="center"/>
          </w:tcPr>
          <w:p w14:paraId="65A66ABA" w14:textId="3A306386" w:rsidR="00BA4D23" w:rsidRPr="00BA4D23" w:rsidRDefault="00BA4D23" w:rsidP="00BA4D23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BA4D2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Verlängerung </w:t>
            </w:r>
            <w:proofErr w:type="spellStart"/>
            <w:r w:rsidRPr="00BA4D2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Anbindeleitung</w:t>
            </w:r>
            <w:proofErr w:type="spellEnd"/>
            <w:r w:rsidRPr="00BA4D2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 VL/RL DN 32, je 20 m (Pauschale für 7 Tage)</w:t>
            </w:r>
          </w:p>
        </w:tc>
        <w:tc>
          <w:tcPr>
            <w:tcW w:w="1701" w:type="dxa"/>
            <w:vAlign w:val="center"/>
          </w:tcPr>
          <w:p w14:paraId="3C596020" w14:textId="6D66DDA6" w:rsidR="00BA4D23" w:rsidRPr="00BA4D23" w:rsidRDefault="00BA4D23" w:rsidP="00BA4D23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BA4D2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MHABL32207</w:t>
            </w:r>
          </w:p>
        </w:tc>
        <w:tc>
          <w:tcPr>
            <w:tcW w:w="1980" w:type="dxa"/>
            <w:vAlign w:val="center"/>
          </w:tcPr>
          <w:p w14:paraId="4BC97D72" w14:textId="77391EC5" w:rsidR="00BA4D23" w:rsidRPr="00BA4D23" w:rsidRDefault="00BA4D23" w:rsidP="00BA4D23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BA4D23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9,00</w:t>
            </w:r>
          </w:p>
        </w:tc>
      </w:tr>
      <w:tr w:rsidR="00BA4D23" w:rsidRPr="004A4EEA" w14:paraId="4ADC378B" w14:textId="77777777" w:rsidTr="00BA4D23">
        <w:tc>
          <w:tcPr>
            <w:tcW w:w="5022" w:type="dxa"/>
            <w:vAlign w:val="center"/>
          </w:tcPr>
          <w:p w14:paraId="3016D121" w14:textId="4F6B84DB" w:rsidR="00BA4D23" w:rsidRPr="00BA4D23" w:rsidRDefault="00BA4D23" w:rsidP="00BA4D23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BA4D2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Verlängerung </w:t>
            </w:r>
            <w:proofErr w:type="spellStart"/>
            <w:r w:rsidRPr="00BA4D2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Anbindeleitung</w:t>
            </w:r>
            <w:proofErr w:type="spellEnd"/>
            <w:r w:rsidRPr="00BA4D2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 VL/RL DN 32, je 20 m (Pauschale für 30 Tage)</w:t>
            </w:r>
          </w:p>
        </w:tc>
        <w:tc>
          <w:tcPr>
            <w:tcW w:w="1701" w:type="dxa"/>
            <w:vAlign w:val="center"/>
          </w:tcPr>
          <w:p w14:paraId="7661BA19" w14:textId="6AD499C7" w:rsidR="00BA4D23" w:rsidRPr="00BA4D23" w:rsidRDefault="00BA4D23" w:rsidP="00BA4D23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BA4D2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MHABL322030</w:t>
            </w:r>
          </w:p>
        </w:tc>
        <w:tc>
          <w:tcPr>
            <w:tcW w:w="1980" w:type="dxa"/>
            <w:vAlign w:val="center"/>
          </w:tcPr>
          <w:p w14:paraId="1E2D4C7E" w14:textId="68FAC3DF" w:rsidR="00BA4D23" w:rsidRPr="00BA4D23" w:rsidRDefault="00BA4D23" w:rsidP="00BA4D23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BA4D23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36,00</w:t>
            </w:r>
          </w:p>
        </w:tc>
      </w:tr>
    </w:tbl>
    <w:p w14:paraId="0B47769B" w14:textId="77777777" w:rsidR="00BA4D23" w:rsidRDefault="00BA4D23" w:rsidP="00BA4D23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i/>
          <w:iCs/>
          <w:color w:val="000000"/>
          <w:sz w:val="16"/>
          <w:szCs w:val="16"/>
        </w:rPr>
      </w:pPr>
    </w:p>
    <w:p w14:paraId="43FD249C" w14:textId="236F98D9" w:rsidR="00BA4D23" w:rsidRPr="00BA4D23" w:rsidRDefault="00BA4D23" w:rsidP="00BA4D23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i/>
          <w:iCs/>
          <w:color w:val="000000"/>
          <w:sz w:val="20"/>
          <w:szCs w:val="20"/>
        </w:rPr>
      </w:pPr>
      <w:r w:rsidRPr="00BA4D23">
        <w:rPr>
          <w:rFonts w:ascii="Titillium Web" w:hAnsi="Titillium Web" w:cs="Titillium Web"/>
          <w:i/>
          <w:iCs/>
          <w:color w:val="000000"/>
          <w:sz w:val="20"/>
          <w:szCs w:val="20"/>
        </w:rPr>
        <w:t>* Hier wird nur der Wasserinhalt der Heizzentrale abgedeckt!</w:t>
      </w:r>
    </w:p>
    <w:p w14:paraId="4058E86E" w14:textId="77777777" w:rsidR="007367D9" w:rsidRPr="004A4EEA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7367D9" w:rsidRPr="004A4EEA" w:rsidSect="00864D2E">
      <w:headerReference w:type="default" r:id="rId8"/>
      <w:pgSz w:w="11906" w:h="16838"/>
      <w:pgMar w:top="1843" w:right="1416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 Offc Pro">
    <w:panose1 w:val="020B0504030101020102"/>
    <w:charset w:val="00"/>
    <w:family w:val="swiss"/>
    <w:pitch w:val="variable"/>
    <w:sig w:usb0="A00002BF" w:usb1="4000A4FB" w:usb2="00000000" w:usb3="00000000" w:csb0="000000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074B3F25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08D1"/>
    <w:multiLevelType w:val="hybridMultilevel"/>
    <w:tmpl w:val="E79CCE5C"/>
    <w:lvl w:ilvl="0" w:tplc="B1E64426">
      <w:numFmt w:val="bullet"/>
      <w:lvlText w:val="•"/>
      <w:lvlJc w:val="left"/>
      <w:pPr>
        <w:ind w:left="108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A33B31"/>
    <w:multiLevelType w:val="hybridMultilevel"/>
    <w:tmpl w:val="0088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F4E6F"/>
    <w:multiLevelType w:val="hybridMultilevel"/>
    <w:tmpl w:val="674C6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C5CD0"/>
    <w:multiLevelType w:val="hybridMultilevel"/>
    <w:tmpl w:val="B120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44453"/>
    <w:multiLevelType w:val="hybridMultilevel"/>
    <w:tmpl w:val="D26055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8C21BD"/>
    <w:multiLevelType w:val="hybridMultilevel"/>
    <w:tmpl w:val="2016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A2DFC"/>
    <w:multiLevelType w:val="hybridMultilevel"/>
    <w:tmpl w:val="BA2CC91A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4561C"/>
    <w:multiLevelType w:val="hybridMultilevel"/>
    <w:tmpl w:val="F11412E8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77C6E"/>
    <w:multiLevelType w:val="hybridMultilevel"/>
    <w:tmpl w:val="C28C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52F5F"/>
    <w:multiLevelType w:val="hybridMultilevel"/>
    <w:tmpl w:val="184E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823C20"/>
    <w:multiLevelType w:val="hybridMultilevel"/>
    <w:tmpl w:val="D07A754E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861182"/>
    <w:multiLevelType w:val="hybridMultilevel"/>
    <w:tmpl w:val="CF767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9"/>
  </w:num>
  <w:num w:numId="5">
    <w:abstractNumId w:val="16"/>
  </w:num>
  <w:num w:numId="6">
    <w:abstractNumId w:val="4"/>
  </w:num>
  <w:num w:numId="7">
    <w:abstractNumId w:val="12"/>
  </w:num>
  <w:num w:numId="8">
    <w:abstractNumId w:val="3"/>
  </w:num>
  <w:num w:numId="9">
    <w:abstractNumId w:val="11"/>
  </w:num>
  <w:num w:numId="10">
    <w:abstractNumId w:val="8"/>
  </w:num>
  <w:num w:numId="11">
    <w:abstractNumId w:val="1"/>
  </w:num>
  <w:num w:numId="12">
    <w:abstractNumId w:val="6"/>
  </w:num>
  <w:num w:numId="13">
    <w:abstractNumId w:val="7"/>
  </w:num>
  <w:num w:numId="14">
    <w:abstractNumId w:val="15"/>
  </w:num>
  <w:num w:numId="15">
    <w:abstractNumId w:val="10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01FEB"/>
    <w:rsid w:val="00017326"/>
    <w:rsid w:val="0007570C"/>
    <w:rsid w:val="00114CB7"/>
    <w:rsid w:val="0012033A"/>
    <w:rsid w:val="00196C33"/>
    <w:rsid w:val="001A7B71"/>
    <w:rsid w:val="003A6D82"/>
    <w:rsid w:val="003C1AD4"/>
    <w:rsid w:val="004A4EEA"/>
    <w:rsid w:val="007367D9"/>
    <w:rsid w:val="007612CA"/>
    <w:rsid w:val="00864D2E"/>
    <w:rsid w:val="008C06DB"/>
    <w:rsid w:val="00914D83"/>
    <w:rsid w:val="009D2A9B"/>
    <w:rsid w:val="00B05BDE"/>
    <w:rsid w:val="00B7246D"/>
    <w:rsid w:val="00BA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character" w:customStyle="1" w:styleId="Tabelle-Hervorhebungschwarz">
    <w:name w:val="Tabelle - Hervorhebung schwarz"/>
    <w:uiPriority w:val="99"/>
    <w:rsid w:val="00114CB7"/>
    <w:rPr>
      <w:rFonts w:ascii="Dax Offc Pro (TT) Bold" w:hAnsi="Dax Offc Pro (TT) Bold" w:cs="Dax Offc Pro (TT) Bold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672-25AD-43CB-9EB4-69640B8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Ramona Mayer</cp:lastModifiedBy>
  <cp:revision>2</cp:revision>
  <dcterms:created xsi:type="dcterms:W3CDTF">2021-02-22T15:07:00Z</dcterms:created>
  <dcterms:modified xsi:type="dcterms:W3CDTF">2021-02-22T15:07:00Z</dcterms:modified>
</cp:coreProperties>
</file>